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8151C" w14:textId="17862B04"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37</w:t>
      </w:r>
      <w:r w:rsidRPr="009D3788">
        <w:rPr>
          <w:rStyle w:val="normaltextrun"/>
          <w:sz w:val="20"/>
          <w:szCs w:val="20"/>
        </w:rPr>
        <w:t xml:space="preserve"> - </w:t>
      </w:r>
      <w:r w:rsidR="00616CF8" w:rsidRPr="009D3788">
        <w:rPr>
          <w:rStyle w:val="normaltextrun"/>
          <w:sz w:val="20"/>
          <w:szCs w:val="20"/>
        </w:rPr>
        <w:t>Add new Chapter 14M Wind</w:t>
      </w:r>
    </w:p>
    <w:p w14:paraId="1D3EDBC5" w14:textId="77777777" w:rsidR="00616CF8" w:rsidRPr="009D3788" w:rsidRDefault="00616CF8" w:rsidP="00616CF8">
      <w:pPr>
        <w:pStyle w:val="PC56-ChapterHeading-New"/>
        <w:rPr>
          <w:color w:val="auto"/>
          <w:sz w:val="31"/>
          <w:szCs w:val="31"/>
        </w:rPr>
      </w:pPr>
      <w:r w:rsidRPr="009D3788">
        <w:rPr>
          <w:color w:val="auto"/>
        </w:rPr>
        <w:t>14M</w:t>
      </w:r>
      <w:r w:rsidRPr="009D3788">
        <w:rPr>
          <w:color w:val="auto"/>
        </w:rPr>
        <w:tab/>
        <w:t>Wind</w:t>
      </w:r>
    </w:p>
    <w:p w14:paraId="672F779F" w14:textId="77777777" w:rsidR="005350FC" w:rsidRPr="009D3788" w:rsidRDefault="005350FC" w:rsidP="005350FC">
      <w:pPr>
        <w:pStyle w:val="ADMENDMENT"/>
        <w:ind w:left="-284"/>
        <w:rPr>
          <w:rStyle w:val="normaltextrun"/>
          <w:sz w:val="20"/>
          <w:szCs w:val="20"/>
        </w:rPr>
      </w:pPr>
    </w:p>
    <w:p w14:paraId="01A796E1" w14:textId="340BB4F1"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38</w:t>
      </w:r>
      <w:r w:rsidRPr="009D3788">
        <w:rPr>
          <w:rStyle w:val="normaltextrun"/>
          <w:sz w:val="20"/>
          <w:szCs w:val="20"/>
        </w:rPr>
        <w:t xml:space="preserve"> - </w:t>
      </w:r>
      <w:r w:rsidR="00616CF8" w:rsidRPr="009D3788">
        <w:rPr>
          <w:rStyle w:val="normaltextrun"/>
          <w:sz w:val="20"/>
          <w:szCs w:val="20"/>
        </w:rPr>
        <w:t>Add new introduction for Chapter 14M Wind)</w:t>
      </w:r>
    </w:p>
    <w:p w14:paraId="1553DD14" w14:textId="77777777" w:rsidR="00616CF8" w:rsidRPr="009D3788" w:rsidRDefault="00616CF8" w:rsidP="00616CF8">
      <w:pPr>
        <w:pStyle w:val="PC56-HeadingLevel1-New"/>
        <w:rPr>
          <w:color w:val="auto"/>
          <w:sz w:val="18"/>
          <w:szCs w:val="18"/>
        </w:rPr>
      </w:pPr>
      <w:r w:rsidRPr="009D3788">
        <w:rPr>
          <w:color w:val="auto"/>
        </w:rPr>
        <w:t>Introduction</w:t>
      </w:r>
    </w:p>
    <w:p w14:paraId="4D55099B" w14:textId="77777777" w:rsidR="00616CF8" w:rsidRPr="009D3788" w:rsidRDefault="00616CF8" w:rsidP="00616CF8">
      <w:pPr>
        <w:pStyle w:val="PC56-Normal-New"/>
        <w:rPr>
          <w:color w:val="auto"/>
          <w:lang w:val="en-NZ"/>
        </w:rPr>
      </w:pPr>
      <w:r w:rsidRPr="009D3788">
        <w:rPr>
          <w:color w:val="auto"/>
          <w:lang w:val="en-NZ"/>
        </w:rPr>
        <w:t>Buildings alter the patterns and speeds of wind around them, and this can result in uncomfortable or even hazardous conditions for people in public spaces. The windy climate of Lower Hutt means that new buildings need to be designed and managed to reduce the impacts of wind on public space.</w:t>
      </w:r>
    </w:p>
    <w:p w14:paraId="525E4D45" w14:textId="77777777" w:rsidR="00616CF8" w:rsidRPr="009D3788" w:rsidRDefault="00616CF8" w:rsidP="00616CF8">
      <w:pPr>
        <w:pStyle w:val="PC56-Normal-New"/>
        <w:rPr>
          <w:color w:val="auto"/>
          <w:lang w:val="en-NZ"/>
        </w:rPr>
      </w:pPr>
      <w:r w:rsidRPr="009D3788">
        <w:rPr>
          <w:color w:val="auto"/>
          <w:lang w:val="en-NZ"/>
        </w:rPr>
        <w:t>It is most effective to consider wind in the design of new buildings early in the process, as issues such as building bulk, shape, and site layout can have an impact. Even relatively low buildings (four storeys) can have notable wind effects if they are significantly different to their surrounding buildings.</w:t>
      </w:r>
    </w:p>
    <w:p w14:paraId="06C73D04" w14:textId="77777777" w:rsidR="00616CF8" w:rsidRPr="009D3788" w:rsidRDefault="00616CF8" w:rsidP="00616CF8">
      <w:pPr>
        <w:pStyle w:val="PC56-Normal-New"/>
        <w:rPr>
          <w:color w:val="auto"/>
          <w:lang w:val="en-NZ"/>
        </w:rPr>
      </w:pPr>
      <w:r w:rsidRPr="009D3788">
        <w:rPr>
          <w:color w:val="auto"/>
          <w:lang w:val="en-NZ"/>
        </w:rPr>
        <w:t>The design guides for the Central Commercial and Petone Commercial Activity Areas include some guidelines for managing wind in developments. The Council may also publish design guidance around designing for wind. It is advisable to consider these resources early in the design process.</w:t>
      </w:r>
    </w:p>
    <w:p w14:paraId="247C79FA" w14:textId="77777777" w:rsidR="00616CF8" w:rsidRPr="009D3788" w:rsidRDefault="00616CF8" w:rsidP="00616CF8">
      <w:pPr>
        <w:pStyle w:val="PC56-Normal-New"/>
        <w:rPr>
          <w:color w:val="auto"/>
          <w:lang w:val="en-NZ"/>
        </w:rPr>
      </w:pPr>
      <w:r w:rsidRPr="009D3788">
        <w:rPr>
          <w:color w:val="auto"/>
          <w:lang w:val="en-NZ"/>
        </w:rPr>
        <w:t>The rules in this chapter apply to building activity in the following activity areas:</w:t>
      </w:r>
    </w:p>
    <w:p w14:paraId="56603626" w14:textId="77777777" w:rsidR="00616CF8" w:rsidRPr="009D3788" w:rsidRDefault="00616CF8" w:rsidP="00616CF8">
      <w:pPr>
        <w:pStyle w:val="PC56-Normal-New"/>
        <w:numPr>
          <w:ilvl w:val="0"/>
          <w:numId w:val="2"/>
        </w:numPr>
        <w:rPr>
          <w:color w:val="auto"/>
          <w:lang w:val="en-NZ"/>
        </w:rPr>
      </w:pPr>
      <w:r w:rsidRPr="009D3788">
        <w:rPr>
          <w:color w:val="auto"/>
          <w:lang w:val="en-NZ"/>
        </w:rPr>
        <w:t>Central Commercial Activity Area</w:t>
      </w:r>
    </w:p>
    <w:p w14:paraId="440A30D6" w14:textId="77777777" w:rsidR="00616CF8" w:rsidRPr="009D3788" w:rsidRDefault="00616CF8" w:rsidP="00616CF8">
      <w:pPr>
        <w:pStyle w:val="PC56-Normal-New"/>
        <w:numPr>
          <w:ilvl w:val="0"/>
          <w:numId w:val="2"/>
        </w:numPr>
        <w:rPr>
          <w:color w:val="auto"/>
          <w:lang w:val="en-NZ"/>
        </w:rPr>
      </w:pPr>
      <w:r w:rsidRPr="009D3788">
        <w:rPr>
          <w:color w:val="auto"/>
          <w:lang w:val="en-NZ"/>
        </w:rPr>
        <w:t>Petone Commercial Activity Area</w:t>
      </w:r>
    </w:p>
    <w:p w14:paraId="56006432" w14:textId="77777777" w:rsidR="00616CF8" w:rsidRPr="009D3788" w:rsidRDefault="00616CF8" w:rsidP="00616CF8">
      <w:pPr>
        <w:pStyle w:val="PC56-Normal-New"/>
        <w:numPr>
          <w:ilvl w:val="0"/>
          <w:numId w:val="2"/>
        </w:numPr>
        <w:rPr>
          <w:color w:val="auto"/>
          <w:lang w:val="en-NZ"/>
        </w:rPr>
      </w:pPr>
      <w:r w:rsidRPr="009D3788">
        <w:rPr>
          <w:color w:val="auto"/>
          <w:lang w:val="en-NZ"/>
        </w:rPr>
        <w:t>Suburban Mixed Use Activity Area</w:t>
      </w:r>
    </w:p>
    <w:p w14:paraId="6810C5ED" w14:textId="77777777" w:rsidR="00616CF8" w:rsidRPr="009D3788" w:rsidRDefault="00616CF8" w:rsidP="00616CF8">
      <w:pPr>
        <w:pStyle w:val="PC56-Normal-New"/>
        <w:numPr>
          <w:ilvl w:val="0"/>
          <w:numId w:val="2"/>
        </w:numPr>
        <w:rPr>
          <w:color w:val="auto"/>
          <w:lang w:val="en-NZ"/>
        </w:rPr>
      </w:pPr>
      <w:r w:rsidRPr="009D3788">
        <w:rPr>
          <w:color w:val="auto"/>
          <w:lang w:val="en-NZ"/>
        </w:rPr>
        <w:t>Medium Density Residential Activity Area</w:t>
      </w:r>
    </w:p>
    <w:p w14:paraId="66860749" w14:textId="77777777" w:rsidR="00616CF8" w:rsidRPr="009D3788" w:rsidRDefault="00616CF8" w:rsidP="00616CF8">
      <w:pPr>
        <w:pStyle w:val="PC56-Normal-New"/>
        <w:numPr>
          <w:ilvl w:val="0"/>
          <w:numId w:val="2"/>
        </w:numPr>
        <w:rPr>
          <w:color w:val="auto"/>
          <w:lang w:val="en-NZ"/>
        </w:rPr>
      </w:pPr>
      <w:r w:rsidRPr="009D3788">
        <w:rPr>
          <w:color w:val="auto"/>
          <w:lang w:val="en-NZ"/>
        </w:rPr>
        <w:t>High Density Residential Activity Area</w:t>
      </w:r>
    </w:p>
    <w:p w14:paraId="3ED274D4" w14:textId="77777777" w:rsidR="00616CF8" w:rsidRPr="009D3788" w:rsidRDefault="00616CF8" w:rsidP="00616CF8">
      <w:pPr>
        <w:pStyle w:val="PC56-Normal-New"/>
        <w:numPr>
          <w:ilvl w:val="0"/>
          <w:numId w:val="2"/>
        </w:numPr>
        <w:rPr>
          <w:color w:val="auto"/>
          <w:lang w:val="en-NZ"/>
        </w:rPr>
      </w:pPr>
      <w:r w:rsidRPr="009D3788">
        <w:rPr>
          <w:color w:val="auto"/>
          <w:lang w:val="en-NZ"/>
        </w:rPr>
        <w:t>Community Health Activity Area</w:t>
      </w:r>
    </w:p>
    <w:p w14:paraId="2AD8C5C7" w14:textId="77777777" w:rsidR="00616CF8" w:rsidRPr="009D3788" w:rsidRDefault="00616CF8" w:rsidP="00616CF8">
      <w:pPr>
        <w:pStyle w:val="PC56-Normal-New"/>
        <w:numPr>
          <w:ilvl w:val="0"/>
          <w:numId w:val="2"/>
        </w:numPr>
        <w:rPr>
          <w:color w:val="auto"/>
          <w:lang w:val="en-NZ"/>
        </w:rPr>
      </w:pPr>
      <w:r w:rsidRPr="009D3788">
        <w:rPr>
          <w:color w:val="auto"/>
          <w:lang w:val="en-NZ"/>
        </w:rPr>
        <w:t>General Business Activity Area (where the height limit is greater than 12 metres)</w:t>
      </w:r>
    </w:p>
    <w:p w14:paraId="5928382F" w14:textId="77777777" w:rsidR="00616CF8" w:rsidRPr="009D3788" w:rsidRDefault="00616CF8" w:rsidP="00616CF8">
      <w:pPr>
        <w:pStyle w:val="PC56-Normal-New"/>
        <w:numPr>
          <w:ilvl w:val="0"/>
          <w:numId w:val="2"/>
        </w:numPr>
        <w:rPr>
          <w:color w:val="auto"/>
          <w:lang w:val="en-NZ"/>
        </w:rPr>
      </w:pPr>
      <w:r w:rsidRPr="009D3788">
        <w:rPr>
          <w:color w:val="auto"/>
          <w:lang w:val="en-NZ"/>
        </w:rPr>
        <w:t>Community Iwi Activity Area (where the height limit is greater than 12 metres)</w:t>
      </w:r>
    </w:p>
    <w:p w14:paraId="77005B8E" w14:textId="77777777" w:rsidR="00616CF8" w:rsidRPr="009D3788" w:rsidRDefault="00616CF8" w:rsidP="00616CF8">
      <w:pPr>
        <w:pStyle w:val="PC56-Normal-New"/>
        <w:rPr>
          <w:color w:val="auto"/>
          <w:sz w:val="20"/>
          <w:szCs w:val="20"/>
          <w:lang w:val="en-NZ"/>
        </w:rPr>
      </w:pPr>
      <w:r w:rsidRPr="009D3788">
        <w:rPr>
          <w:color w:val="auto"/>
          <w:lang w:val="en-NZ"/>
        </w:rPr>
        <w:t>In these areas, an assessment of the likely effects of buildings over a specified height is required to ensure that the comfort and safety of pedestrians in public spaces is effectively managed. These rules apply in conjunction with the rules in activity area chapters and with other general rules.</w:t>
      </w:r>
    </w:p>
    <w:p w14:paraId="1FCC66FE" w14:textId="77777777" w:rsidR="005350FC" w:rsidRPr="009D3788" w:rsidRDefault="005350FC" w:rsidP="005350FC">
      <w:pPr>
        <w:pStyle w:val="ADMENDMENT"/>
        <w:ind w:left="-284"/>
        <w:rPr>
          <w:rStyle w:val="normaltextrun"/>
          <w:sz w:val="20"/>
          <w:szCs w:val="20"/>
        </w:rPr>
      </w:pPr>
    </w:p>
    <w:p w14:paraId="25124FF5" w14:textId="419400D1"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39</w:t>
      </w:r>
      <w:r w:rsidRPr="009D3788">
        <w:rPr>
          <w:rStyle w:val="normaltextrun"/>
          <w:sz w:val="20"/>
          <w:szCs w:val="20"/>
        </w:rPr>
        <w:t xml:space="preserve"> - </w:t>
      </w:r>
      <w:r w:rsidR="00616CF8" w:rsidRPr="009D3788">
        <w:rPr>
          <w:rStyle w:val="normaltextrun"/>
          <w:sz w:val="20"/>
          <w:szCs w:val="20"/>
        </w:rPr>
        <w:t xml:space="preserve">Add new section 14M 1 Issue, Objective and Policies </w:t>
      </w:r>
    </w:p>
    <w:p w14:paraId="4A923EF9" w14:textId="77777777" w:rsidR="00616CF8" w:rsidRPr="009D3788" w:rsidRDefault="00616CF8" w:rsidP="00616CF8">
      <w:pPr>
        <w:pStyle w:val="PC56-HeadingLevel1-New"/>
        <w:rPr>
          <w:color w:val="auto"/>
        </w:rPr>
      </w:pPr>
      <w:r w:rsidRPr="009D3788">
        <w:rPr>
          <w:color w:val="auto"/>
        </w:rPr>
        <w:t>14M 1</w:t>
      </w:r>
      <w:r w:rsidRPr="009D3788">
        <w:rPr>
          <w:color w:val="auto"/>
        </w:rPr>
        <w:tab/>
        <w:t>Issue, Objective, and Policies</w:t>
      </w:r>
    </w:p>
    <w:p w14:paraId="13722163" w14:textId="77777777" w:rsidR="005350FC" w:rsidRPr="009D3788" w:rsidRDefault="005350FC" w:rsidP="005350FC">
      <w:pPr>
        <w:pStyle w:val="ADMENDMENT"/>
        <w:ind w:left="-284"/>
        <w:rPr>
          <w:rStyle w:val="normaltextrun"/>
          <w:sz w:val="20"/>
          <w:szCs w:val="20"/>
        </w:rPr>
      </w:pPr>
    </w:p>
    <w:p w14:paraId="35096693" w14:textId="38E540F6"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40</w:t>
      </w:r>
      <w:r w:rsidRPr="009D3788">
        <w:rPr>
          <w:rStyle w:val="normaltextrun"/>
          <w:sz w:val="20"/>
          <w:szCs w:val="20"/>
        </w:rPr>
        <w:t xml:space="preserve"> - </w:t>
      </w:r>
      <w:r w:rsidR="00616CF8" w:rsidRPr="009D3788">
        <w:rPr>
          <w:rStyle w:val="normaltextrun"/>
          <w:sz w:val="20"/>
          <w:szCs w:val="20"/>
        </w:rPr>
        <w:t>Add new section 14M 1.1 Effects of Wind Generated by Buildings on Safety and Comfort</w:t>
      </w:r>
    </w:p>
    <w:p w14:paraId="78C8AECD" w14:textId="45E6D80C" w:rsidR="005350FC" w:rsidRPr="009D3788" w:rsidRDefault="005350FC" w:rsidP="005350FC">
      <w:pPr>
        <w:rPr>
          <w:lang w:eastAsia="en-NZ"/>
        </w:rPr>
      </w:pPr>
    </w:p>
    <w:p w14:paraId="43FB1BA7" w14:textId="319303B4" w:rsidR="005350FC" w:rsidRPr="009D3788" w:rsidRDefault="005350FC" w:rsidP="005350FC">
      <w:pPr>
        <w:rPr>
          <w:rStyle w:val="normaltextrun"/>
          <w:rFonts w:eastAsia="Times New Roman" w:cs="Arial"/>
          <w:b/>
          <w:bCs/>
          <w:i/>
          <w:iCs/>
          <w:sz w:val="20"/>
          <w:szCs w:val="20"/>
          <w:lang w:eastAsia="en-NZ"/>
        </w:rPr>
      </w:pPr>
    </w:p>
    <w:p w14:paraId="7001E0F0" w14:textId="131F3B25" w:rsidR="005350FC" w:rsidRPr="009D3788" w:rsidRDefault="005350FC" w:rsidP="005350FC">
      <w:pPr>
        <w:tabs>
          <w:tab w:val="left" w:pos="7903"/>
        </w:tabs>
        <w:rPr>
          <w:lang w:eastAsia="en-NZ"/>
        </w:rPr>
      </w:pPr>
      <w:r w:rsidRPr="009D3788">
        <w:rPr>
          <w:lang w:eastAsia="en-NZ"/>
        </w:rPr>
        <w:tab/>
      </w:r>
    </w:p>
    <w:p w14:paraId="7CFDD9A1" w14:textId="77777777" w:rsidR="005350FC" w:rsidRPr="009D3788" w:rsidRDefault="005350FC" w:rsidP="005350FC">
      <w:pPr>
        <w:rPr>
          <w:lang w:eastAsia="en-NZ"/>
        </w:rPr>
      </w:pPr>
    </w:p>
    <w:p w14:paraId="44B0F1A4" w14:textId="77777777" w:rsidR="00616CF8" w:rsidRPr="009D3788" w:rsidRDefault="00616CF8" w:rsidP="00616CF8">
      <w:pPr>
        <w:pStyle w:val="PC56-HeadingLevel2-New"/>
        <w:rPr>
          <w:color w:val="auto"/>
          <w:sz w:val="39"/>
          <w:szCs w:val="39"/>
        </w:rPr>
      </w:pPr>
      <w:r w:rsidRPr="009D3788">
        <w:rPr>
          <w:color w:val="auto"/>
        </w:rPr>
        <w:lastRenderedPageBreak/>
        <w:t>14M 1.1</w:t>
      </w:r>
      <w:r w:rsidRPr="009D3788">
        <w:rPr>
          <w:color w:val="auto"/>
        </w:rPr>
        <w:tab/>
        <w:t xml:space="preserve">Effects of Wind Generated by Buildings on Safety and Comfort </w:t>
      </w:r>
    </w:p>
    <w:p w14:paraId="362FA34E" w14:textId="73AE7AE2" w:rsidR="005350FC" w:rsidRPr="009D3788" w:rsidRDefault="005350FC" w:rsidP="005350FC">
      <w:pPr>
        <w:pStyle w:val="ADMENDMENT"/>
        <w:ind w:left="-284"/>
        <w:rPr>
          <w:rStyle w:val="normaltextrun"/>
          <w:sz w:val="20"/>
          <w:szCs w:val="20"/>
        </w:rPr>
      </w:pPr>
    </w:p>
    <w:p w14:paraId="6370670E" w14:textId="66985F22"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41</w:t>
      </w:r>
      <w:r w:rsidRPr="009D3788">
        <w:rPr>
          <w:rStyle w:val="normaltextrun"/>
          <w:sz w:val="20"/>
          <w:szCs w:val="20"/>
        </w:rPr>
        <w:t xml:space="preserve"> - </w:t>
      </w:r>
      <w:r w:rsidR="00616CF8" w:rsidRPr="009D3788">
        <w:rPr>
          <w:rStyle w:val="normaltextrun"/>
          <w:sz w:val="20"/>
          <w:szCs w:val="20"/>
        </w:rPr>
        <w:t>Add new Issue to section 14M 1.1</w:t>
      </w:r>
    </w:p>
    <w:p w14:paraId="6A2E5E4C" w14:textId="77777777" w:rsidR="00616CF8" w:rsidRPr="009D3788" w:rsidRDefault="00616CF8" w:rsidP="00616CF8">
      <w:pPr>
        <w:pStyle w:val="PC56-HeadingLevel3-New"/>
        <w:rPr>
          <w:color w:val="auto"/>
          <w:sz w:val="28"/>
        </w:rPr>
      </w:pPr>
      <w:r w:rsidRPr="009D3788">
        <w:rPr>
          <w:color w:val="auto"/>
        </w:rPr>
        <w:t>Issue</w:t>
      </w:r>
    </w:p>
    <w:p w14:paraId="0FE47E20" w14:textId="77777777" w:rsidR="00616CF8" w:rsidRPr="009D3788" w:rsidRDefault="00616CF8" w:rsidP="00616CF8">
      <w:pPr>
        <w:pStyle w:val="PC56-Normal-New"/>
        <w:rPr>
          <w:color w:val="auto"/>
          <w:sz w:val="25"/>
          <w:szCs w:val="25"/>
          <w:lang w:val="en-NZ"/>
        </w:rPr>
      </w:pPr>
      <w:r w:rsidRPr="009D3788">
        <w:rPr>
          <w:color w:val="auto"/>
          <w:lang w:val="en-NZ"/>
        </w:rPr>
        <w:t>Buildings can alter the pattern and speed of wind at ground level in public spaces. This can affect the comfort of pedestrians in public spaces and even mean that wind conditions can become hazardous. It is important that buildings are designed and operated to manage these effects.</w:t>
      </w:r>
    </w:p>
    <w:p w14:paraId="6A2C590B" w14:textId="77777777" w:rsidR="005350FC" w:rsidRPr="009D3788" w:rsidRDefault="005350FC" w:rsidP="005350FC">
      <w:pPr>
        <w:pStyle w:val="ADMENDMENT"/>
        <w:ind w:left="-284"/>
        <w:rPr>
          <w:rStyle w:val="normaltextrun"/>
          <w:sz w:val="20"/>
          <w:szCs w:val="20"/>
        </w:rPr>
      </w:pPr>
    </w:p>
    <w:p w14:paraId="394ACA3E" w14:textId="0187C380"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42</w:t>
      </w:r>
      <w:r w:rsidRPr="009D3788">
        <w:rPr>
          <w:rStyle w:val="normaltextrun"/>
          <w:sz w:val="20"/>
          <w:szCs w:val="20"/>
        </w:rPr>
        <w:t xml:space="preserve"> - </w:t>
      </w:r>
      <w:r w:rsidR="00616CF8" w:rsidRPr="009D3788">
        <w:rPr>
          <w:rStyle w:val="normaltextrun"/>
          <w:sz w:val="20"/>
          <w:szCs w:val="20"/>
        </w:rPr>
        <w:t>Add new Objective to section 14M 1.1</w:t>
      </w:r>
    </w:p>
    <w:p w14:paraId="053D8D09" w14:textId="77777777" w:rsidR="00616CF8" w:rsidRPr="009D3788" w:rsidRDefault="00616CF8" w:rsidP="00616CF8">
      <w:pPr>
        <w:pStyle w:val="PC56-HeadingLevel3-New"/>
        <w:rPr>
          <w:color w:val="auto"/>
          <w:sz w:val="28"/>
        </w:rPr>
      </w:pPr>
      <w:r w:rsidRPr="009D3788">
        <w:rPr>
          <w:color w:val="auto"/>
        </w:rPr>
        <w:t>Objective</w:t>
      </w:r>
    </w:p>
    <w:p w14:paraId="255843F3" w14:textId="77777777" w:rsidR="00616CF8" w:rsidRPr="009D3788" w:rsidRDefault="00616CF8" w:rsidP="00616CF8">
      <w:pPr>
        <w:pStyle w:val="PC56-Normal-New"/>
        <w:rPr>
          <w:color w:val="auto"/>
          <w:lang w:val="en-NZ"/>
        </w:rPr>
      </w:pPr>
      <w:r w:rsidRPr="009D3788">
        <w:rPr>
          <w:color w:val="auto"/>
          <w:lang w:val="en-NZ"/>
        </w:rPr>
        <w:t>Within public places in Commercial Activity Areas, High Density Residential and Medium Density Residential Activity Areas, and other urban non-residential activity areas that enable buildings taller than 12 metres:</w:t>
      </w:r>
    </w:p>
    <w:p w14:paraId="4633852A" w14:textId="77777777" w:rsidR="00616CF8" w:rsidRPr="009D3788" w:rsidRDefault="00616CF8" w:rsidP="00616CF8">
      <w:pPr>
        <w:pStyle w:val="PC56-Normal-New"/>
        <w:numPr>
          <w:ilvl w:val="0"/>
          <w:numId w:val="3"/>
        </w:numPr>
        <w:ind w:hanging="720"/>
        <w:rPr>
          <w:color w:val="auto"/>
          <w:lang w:val="en-NZ"/>
        </w:rPr>
      </w:pPr>
      <w:r w:rsidRPr="009D3788">
        <w:rPr>
          <w:color w:val="auto"/>
          <w:lang w:val="en-NZ"/>
        </w:rPr>
        <w:t>Wind conditions remain safe, and where possible, existing unsafe wind conditions are improved,</w:t>
      </w:r>
    </w:p>
    <w:p w14:paraId="41886577" w14:textId="77777777" w:rsidR="00616CF8" w:rsidRPr="009D3788" w:rsidRDefault="00616CF8" w:rsidP="00616CF8">
      <w:pPr>
        <w:pStyle w:val="PC56-Normal-New"/>
        <w:numPr>
          <w:ilvl w:val="0"/>
          <w:numId w:val="3"/>
        </w:numPr>
        <w:ind w:hanging="720"/>
        <w:rPr>
          <w:color w:val="auto"/>
          <w:lang w:val="en-NZ"/>
        </w:rPr>
      </w:pPr>
      <w:r w:rsidRPr="009D3788">
        <w:rPr>
          <w:color w:val="auto"/>
          <w:lang w:val="en-NZ"/>
        </w:rPr>
        <w:t>In key commercial centre locations, wind conditions are comfortable for pedestrians, and</w:t>
      </w:r>
    </w:p>
    <w:p w14:paraId="28A94B77" w14:textId="77777777" w:rsidR="00616CF8" w:rsidRPr="009D3788" w:rsidRDefault="00616CF8" w:rsidP="00616CF8">
      <w:pPr>
        <w:pStyle w:val="PC56-Normal-New"/>
        <w:numPr>
          <w:ilvl w:val="0"/>
          <w:numId w:val="3"/>
        </w:numPr>
        <w:ind w:hanging="720"/>
        <w:rPr>
          <w:color w:val="auto"/>
          <w:lang w:val="en-NZ"/>
        </w:rPr>
      </w:pPr>
      <w:r w:rsidRPr="009D3788">
        <w:rPr>
          <w:color w:val="auto"/>
          <w:lang w:val="en-NZ"/>
        </w:rPr>
        <w:t>The pedestrian wind environment is protected from gradual degradation over time.</w:t>
      </w:r>
    </w:p>
    <w:p w14:paraId="1AB9DB96" w14:textId="77777777" w:rsidR="005350FC" w:rsidRPr="009D3788" w:rsidRDefault="005350FC" w:rsidP="005350FC">
      <w:pPr>
        <w:pStyle w:val="ADMENDMENT"/>
        <w:ind w:left="-284"/>
        <w:rPr>
          <w:rStyle w:val="normaltextrun"/>
          <w:sz w:val="20"/>
          <w:szCs w:val="20"/>
        </w:rPr>
      </w:pPr>
    </w:p>
    <w:p w14:paraId="60888513" w14:textId="14C09AFB"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43</w:t>
      </w:r>
      <w:r w:rsidRPr="009D3788">
        <w:rPr>
          <w:rStyle w:val="normaltextrun"/>
          <w:sz w:val="20"/>
          <w:szCs w:val="20"/>
        </w:rPr>
        <w:t xml:space="preserve"> - </w:t>
      </w:r>
      <w:r w:rsidR="00616CF8" w:rsidRPr="009D3788">
        <w:rPr>
          <w:rStyle w:val="normaltextrun"/>
          <w:sz w:val="20"/>
          <w:szCs w:val="20"/>
        </w:rPr>
        <w:t>Add new Policies to section 14M 1.1</w:t>
      </w:r>
    </w:p>
    <w:p w14:paraId="70660431" w14:textId="77777777" w:rsidR="00616CF8" w:rsidRPr="009D3788" w:rsidRDefault="00616CF8" w:rsidP="00616CF8">
      <w:pPr>
        <w:pStyle w:val="PC56-HeadingLevel3-New"/>
        <w:rPr>
          <w:color w:val="auto"/>
          <w:sz w:val="25"/>
          <w:szCs w:val="25"/>
        </w:rPr>
      </w:pPr>
      <w:r w:rsidRPr="009D3788">
        <w:rPr>
          <w:color w:val="auto"/>
        </w:rPr>
        <w:t>Policy</w:t>
      </w:r>
    </w:p>
    <w:p w14:paraId="14BBB7ED" w14:textId="77777777" w:rsidR="00616CF8" w:rsidRPr="009D3788" w:rsidRDefault="00616CF8" w:rsidP="00616CF8">
      <w:pPr>
        <w:pStyle w:val="PC56-Normal-New"/>
        <w:numPr>
          <w:ilvl w:val="0"/>
          <w:numId w:val="4"/>
        </w:numPr>
        <w:ind w:hanging="720"/>
        <w:rPr>
          <w:color w:val="auto"/>
          <w:lang w:val="en-NZ"/>
        </w:rPr>
      </w:pPr>
      <w:r w:rsidRPr="009D3788">
        <w:rPr>
          <w:color w:val="auto"/>
          <w:lang w:val="en-NZ"/>
        </w:rPr>
        <w:t>Encourage consideration of wind during the early stages of building design to achieve high quality design for wind that minimises the adverse impact on public spaces, with wind mitigation measures contained on site.</w:t>
      </w:r>
    </w:p>
    <w:p w14:paraId="008BB6C6" w14:textId="77777777" w:rsidR="00616CF8" w:rsidRPr="009D3788" w:rsidRDefault="00616CF8" w:rsidP="00616CF8">
      <w:pPr>
        <w:pStyle w:val="PC56-Normal-New"/>
        <w:numPr>
          <w:ilvl w:val="0"/>
          <w:numId w:val="4"/>
        </w:numPr>
        <w:ind w:hanging="720"/>
        <w:rPr>
          <w:color w:val="auto"/>
          <w:lang w:val="en-NZ"/>
        </w:rPr>
      </w:pPr>
      <w:r w:rsidRPr="009D3788">
        <w:rPr>
          <w:color w:val="auto"/>
          <w:lang w:val="en-NZ"/>
        </w:rPr>
        <w:t>Require that larger buildings, including significant alterations and additions, are designed to manage adverse wind effects, by meeting specified performance standards.</w:t>
      </w:r>
    </w:p>
    <w:p w14:paraId="0AEF7BD6" w14:textId="77777777" w:rsidR="00616CF8" w:rsidRPr="009D3788" w:rsidRDefault="00616CF8" w:rsidP="00616CF8">
      <w:pPr>
        <w:pStyle w:val="PC56-Normal-New"/>
        <w:numPr>
          <w:ilvl w:val="0"/>
          <w:numId w:val="4"/>
        </w:numPr>
        <w:ind w:hanging="720"/>
        <w:rPr>
          <w:color w:val="auto"/>
          <w:lang w:val="en-NZ"/>
        </w:rPr>
      </w:pPr>
      <w:r w:rsidRPr="009D3788">
        <w:rPr>
          <w:color w:val="auto"/>
          <w:lang w:val="en-NZ"/>
        </w:rPr>
        <w:t>Ensure that where wind effects have been managed through wind mitigation measures, that those mitigation measures are retained and maintained.</w:t>
      </w:r>
    </w:p>
    <w:p w14:paraId="173BDF74" w14:textId="77777777" w:rsidR="005350FC" w:rsidRPr="009D3788" w:rsidRDefault="005350FC" w:rsidP="005350FC">
      <w:pPr>
        <w:pStyle w:val="ADMENDMENT"/>
        <w:ind w:left="-284"/>
        <w:rPr>
          <w:rStyle w:val="normaltextrun"/>
          <w:sz w:val="20"/>
          <w:szCs w:val="20"/>
        </w:rPr>
      </w:pPr>
    </w:p>
    <w:p w14:paraId="48452754" w14:textId="4719D88D"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44</w:t>
      </w:r>
      <w:r w:rsidRPr="009D3788">
        <w:rPr>
          <w:rStyle w:val="normaltextrun"/>
          <w:sz w:val="20"/>
          <w:szCs w:val="20"/>
        </w:rPr>
        <w:t xml:space="preserve"> - </w:t>
      </w:r>
      <w:r w:rsidR="00616CF8" w:rsidRPr="009D3788">
        <w:rPr>
          <w:rStyle w:val="normaltextrun"/>
          <w:sz w:val="20"/>
          <w:szCs w:val="20"/>
        </w:rPr>
        <w:t>Add new section 14M 2 Rules</w:t>
      </w:r>
    </w:p>
    <w:p w14:paraId="20029686" w14:textId="77777777" w:rsidR="00616CF8" w:rsidRPr="009D3788" w:rsidRDefault="00616CF8" w:rsidP="00616CF8">
      <w:pPr>
        <w:pStyle w:val="PC56-HeadingLevel1-New"/>
        <w:rPr>
          <w:color w:val="auto"/>
        </w:rPr>
      </w:pPr>
      <w:r w:rsidRPr="009D3788">
        <w:rPr>
          <w:color w:val="auto"/>
        </w:rPr>
        <w:t>14M 2</w:t>
      </w:r>
      <w:r w:rsidRPr="009D3788">
        <w:rPr>
          <w:color w:val="auto"/>
        </w:rPr>
        <w:tab/>
        <w:t>Rules</w:t>
      </w:r>
    </w:p>
    <w:p w14:paraId="4BBB784F" w14:textId="7E1CC68E"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45</w:t>
      </w:r>
      <w:r w:rsidRPr="009D3788">
        <w:rPr>
          <w:rStyle w:val="normaltextrun"/>
          <w:sz w:val="20"/>
          <w:szCs w:val="20"/>
        </w:rPr>
        <w:t xml:space="preserve"> - </w:t>
      </w:r>
      <w:r w:rsidR="00616CF8" w:rsidRPr="009D3788">
        <w:rPr>
          <w:rStyle w:val="normaltextrun"/>
          <w:sz w:val="20"/>
          <w:szCs w:val="20"/>
        </w:rPr>
        <w:t>Add new section 14M 2.1 Rules – Restricted Discretionary Activities</w:t>
      </w:r>
    </w:p>
    <w:p w14:paraId="72035C3E" w14:textId="77777777" w:rsidR="00616CF8" w:rsidRPr="009D3788" w:rsidRDefault="00616CF8" w:rsidP="00616CF8">
      <w:pPr>
        <w:pStyle w:val="PC56-HeadingLevel2-New"/>
        <w:rPr>
          <w:color w:val="auto"/>
        </w:rPr>
      </w:pPr>
      <w:r w:rsidRPr="009D3788">
        <w:rPr>
          <w:color w:val="auto"/>
        </w:rPr>
        <w:t>14M 2.1</w:t>
      </w:r>
      <w:r w:rsidRPr="009D3788">
        <w:rPr>
          <w:color w:val="auto"/>
        </w:rPr>
        <w:tab/>
        <w:t>Restricted Discretionary Activities</w:t>
      </w:r>
    </w:p>
    <w:p w14:paraId="5D590F0A" w14:textId="77777777" w:rsidR="005350FC" w:rsidRPr="009D3788" w:rsidRDefault="005350FC" w:rsidP="005350FC">
      <w:pPr>
        <w:pStyle w:val="ADMENDMENT"/>
        <w:ind w:left="-284"/>
        <w:rPr>
          <w:rStyle w:val="normaltextrun"/>
          <w:sz w:val="20"/>
          <w:szCs w:val="20"/>
        </w:rPr>
      </w:pPr>
    </w:p>
    <w:p w14:paraId="62432C8B" w14:textId="445C4D28"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46</w:t>
      </w:r>
      <w:r w:rsidRPr="009D3788">
        <w:rPr>
          <w:rStyle w:val="normaltextrun"/>
          <w:sz w:val="20"/>
          <w:szCs w:val="20"/>
        </w:rPr>
        <w:t xml:space="preserve"> - </w:t>
      </w:r>
      <w:r w:rsidR="00616CF8" w:rsidRPr="009D3788">
        <w:rPr>
          <w:rStyle w:val="normaltextrun"/>
          <w:sz w:val="20"/>
          <w:szCs w:val="20"/>
        </w:rPr>
        <w:t>Add new Rules 14M 2.1(a) and 14M 2.1(b)</w:t>
      </w:r>
    </w:p>
    <w:p w14:paraId="0AF5B94D" w14:textId="77777777" w:rsidR="00616CF8" w:rsidRPr="009D3788" w:rsidRDefault="00616CF8" w:rsidP="00616CF8">
      <w:pPr>
        <w:pStyle w:val="PC56-Normal-New"/>
        <w:numPr>
          <w:ilvl w:val="0"/>
          <w:numId w:val="5"/>
        </w:numPr>
        <w:ind w:hanging="720"/>
        <w:rPr>
          <w:color w:val="auto"/>
          <w:lang w:val="en-NZ"/>
        </w:rPr>
      </w:pPr>
      <w:r w:rsidRPr="009D3788">
        <w:rPr>
          <w:color w:val="auto"/>
          <w:lang w:val="en-NZ"/>
        </w:rPr>
        <w:t>The construction, alteration of, and addition to buildings and structures with a height greater than that specified in Table 14M 2.1.1, except for:</w:t>
      </w:r>
    </w:p>
    <w:p w14:paraId="0FD2815D" w14:textId="77777777" w:rsidR="00616CF8" w:rsidRPr="009D3788" w:rsidRDefault="00616CF8" w:rsidP="00616CF8">
      <w:pPr>
        <w:pStyle w:val="PC56-Normal-New"/>
        <w:numPr>
          <w:ilvl w:val="0"/>
          <w:numId w:val="13"/>
        </w:numPr>
        <w:rPr>
          <w:color w:val="auto"/>
          <w:lang w:val="en-NZ"/>
        </w:rPr>
      </w:pPr>
      <w:r w:rsidRPr="009D3788">
        <w:rPr>
          <w:color w:val="auto"/>
          <w:lang w:val="en-NZ"/>
        </w:rPr>
        <w:t>Alterations that do not change the external building volume, or</w:t>
      </w:r>
    </w:p>
    <w:p w14:paraId="19B97DB7" w14:textId="77777777" w:rsidR="00616CF8" w:rsidRPr="009D3788" w:rsidRDefault="00616CF8" w:rsidP="00616CF8">
      <w:pPr>
        <w:pStyle w:val="PC56-Normal-New"/>
        <w:numPr>
          <w:ilvl w:val="0"/>
          <w:numId w:val="13"/>
        </w:numPr>
        <w:rPr>
          <w:color w:val="auto"/>
          <w:lang w:val="en-NZ"/>
        </w:rPr>
      </w:pPr>
      <w:r w:rsidRPr="009D3788">
        <w:rPr>
          <w:color w:val="auto"/>
          <w:lang w:val="en-NZ"/>
        </w:rPr>
        <w:t>Additions that increase the building or structure height by no more than 5 metres.</w:t>
      </w:r>
    </w:p>
    <w:p w14:paraId="7C18A068" w14:textId="77777777" w:rsidR="00616CF8" w:rsidRPr="009D3788" w:rsidRDefault="00616CF8" w:rsidP="00616CF8">
      <w:pPr>
        <w:pStyle w:val="PC56-Normal-New"/>
        <w:numPr>
          <w:ilvl w:val="0"/>
          <w:numId w:val="5"/>
        </w:numPr>
        <w:ind w:hanging="720"/>
        <w:rPr>
          <w:color w:val="auto"/>
          <w:lang w:val="en-NZ"/>
        </w:rPr>
      </w:pPr>
      <w:r w:rsidRPr="009D3788">
        <w:rPr>
          <w:color w:val="auto"/>
          <w:lang w:val="en-NZ"/>
        </w:rPr>
        <w:t>Alterations to or removal of existing off-site wind mitigation measures required by a resource consent.</w:t>
      </w:r>
    </w:p>
    <w:p w14:paraId="57CEA832" w14:textId="77777777" w:rsidR="00616CF8" w:rsidRPr="009D3788" w:rsidRDefault="00616CF8" w:rsidP="00616CF8">
      <w:pPr>
        <w:pStyle w:val="PC56-Normal-New"/>
        <w:ind w:left="720"/>
        <w:rPr>
          <w:color w:val="auto"/>
          <w:lang w:val="en-NZ"/>
        </w:rPr>
      </w:pPr>
      <w:r w:rsidRPr="009D3788">
        <w:rPr>
          <w:b/>
          <w:color w:val="auto"/>
          <w:lang w:val="en-NZ"/>
        </w:rPr>
        <w:t>Non-notification/service</w:t>
      </w:r>
    </w:p>
    <w:p w14:paraId="2E176E17" w14:textId="77777777" w:rsidR="00616CF8" w:rsidRPr="009D3788" w:rsidRDefault="00616CF8" w:rsidP="00616CF8">
      <w:pPr>
        <w:pStyle w:val="PC56-Normal-New"/>
        <w:ind w:left="720"/>
        <w:rPr>
          <w:color w:val="auto"/>
          <w:lang w:val="en-NZ"/>
        </w:rPr>
      </w:pPr>
      <w:r w:rsidRPr="009D3788">
        <w:rPr>
          <w:color w:val="auto"/>
          <w:lang w:val="en-NZ"/>
        </w:rPr>
        <w:t>In respect of Rule 14M 2.1(a) and Rule 14M 2.1(b), public and limited notification is precluded where the standards in 14C 2.1.3 are met.</w:t>
      </w:r>
    </w:p>
    <w:p w14:paraId="48AC5235" w14:textId="77777777" w:rsidR="005350FC" w:rsidRPr="009D3788" w:rsidRDefault="005350FC" w:rsidP="005350FC">
      <w:pPr>
        <w:pStyle w:val="ADMENDMENT"/>
        <w:ind w:left="-284"/>
        <w:rPr>
          <w:rStyle w:val="normaltextrun"/>
          <w:sz w:val="20"/>
          <w:szCs w:val="20"/>
        </w:rPr>
      </w:pPr>
    </w:p>
    <w:p w14:paraId="69846E1A" w14:textId="4A761B6C" w:rsidR="00616CF8" w:rsidRPr="009D3788" w:rsidRDefault="005350FC" w:rsidP="005350FC">
      <w:pPr>
        <w:pStyle w:val="ADMENDMENT"/>
        <w:ind w:left="-284"/>
        <w:rPr>
          <w:rStyle w:val="normaltextrun"/>
          <w:sz w:val="20"/>
          <w:szCs w:val="20"/>
        </w:rPr>
      </w:pPr>
      <w:r w:rsidRPr="009D3788">
        <w:rPr>
          <w:rStyle w:val="normaltextrun"/>
          <w:sz w:val="20"/>
          <w:szCs w:val="20"/>
        </w:rPr>
        <w:lastRenderedPageBreak/>
        <w:t>AMENDMENT 4</w:t>
      </w:r>
      <w:r w:rsidR="003C72D7" w:rsidRPr="009D3788">
        <w:rPr>
          <w:rStyle w:val="normaltextrun"/>
          <w:sz w:val="20"/>
          <w:szCs w:val="20"/>
        </w:rPr>
        <w:t>47</w:t>
      </w:r>
      <w:r w:rsidRPr="009D3788">
        <w:rPr>
          <w:rStyle w:val="normaltextrun"/>
          <w:sz w:val="20"/>
          <w:szCs w:val="20"/>
        </w:rPr>
        <w:t xml:space="preserve"> - </w:t>
      </w:r>
      <w:r w:rsidR="00616CF8" w:rsidRPr="009D3788">
        <w:rPr>
          <w:rStyle w:val="normaltextrun"/>
          <w:sz w:val="20"/>
          <w:szCs w:val="20"/>
        </w:rPr>
        <w:t>Add new section 14M 2.1.1 Height thresholds for wind assessment</w:t>
      </w:r>
    </w:p>
    <w:p w14:paraId="1880C9BE" w14:textId="77777777" w:rsidR="00616CF8" w:rsidRPr="009D3788" w:rsidRDefault="00616CF8" w:rsidP="00616CF8">
      <w:pPr>
        <w:pStyle w:val="PC56-HeadingLevel3-New"/>
        <w:rPr>
          <w:color w:val="auto"/>
          <w:sz w:val="27"/>
          <w:szCs w:val="27"/>
        </w:rPr>
      </w:pPr>
      <w:r w:rsidRPr="009D3788">
        <w:rPr>
          <w:color w:val="auto"/>
        </w:rPr>
        <w:t>14M 2.1.1</w:t>
      </w:r>
      <w:r w:rsidRPr="009D3788">
        <w:rPr>
          <w:color w:val="auto"/>
        </w:rPr>
        <w:tab/>
        <w:t xml:space="preserve">Height thresholds for wind assessment </w:t>
      </w:r>
    </w:p>
    <w:tbl>
      <w:tblPr>
        <w:tblStyle w:val="TableGrid"/>
        <w:tblW w:w="0" w:type="auto"/>
        <w:tblInd w:w="-8" w:type="dxa"/>
        <w:tblLayout w:type="fixed"/>
        <w:tblLook w:val="0000" w:firstRow="0" w:lastRow="0" w:firstColumn="0" w:lastColumn="0" w:noHBand="0" w:noVBand="0"/>
      </w:tblPr>
      <w:tblGrid>
        <w:gridCol w:w="7463"/>
        <w:gridCol w:w="1605"/>
      </w:tblGrid>
      <w:tr w:rsidR="009D3788" w:rsidRPr="009D3788" w14:paraId="39DE5562" w14:textId="77777777" w:rsidTr="00F70092">
        <w:trPr>
          <w:trHeight w:val="105"/>
        </w:trPr>
        <w:tc>
          <w:tcPr>
            <w:tcW w:w="7463" w:type="dxa"/>
            <w:tcBorders>
              <w:top w:val="single" w:sz="6" w:space="0" w:color="auto"/>
              <w:left w:val="single" w:sz="6" w:space="0" w:color="auto"/>
              <w:bottom w:val="single" w:sz="6" w:space="0" w:color="auto"/>
              <w:right w:val="single" w:sz="6" w:space="0" w:color="auto"/>
            </w:tcBorders>
          </w:tcPr>
          <w:p w14:paraId="1FC83FE3" w14:textId="77777777" w:rsidR="00616CF8" w:rsidRPr="009D3788" w:rsidRDefault="00616CF8" w:rsidP="00F70092">
            <w:pPr>
              <w:pStyle w:val="PC56-HeadingLevel4-New"/>
              <w:rPr>
                <w:rFonts w:eastAsia="Arial"/>
                <w:color w:val="auto"/>
                <w:lang w:val="en-NZ"/>
              </w:rPr>
            </w:pPr>
            <w:r w:rsidRPr="009D3788">
              <w:rPr>
                <w:rFonts w:eastAsia="Arial"/>
                <w:color w:val="auto"/>
                <w:lang w:val="en-NZ"/>
              </w:rPr>
              <w:t>Location</w:t>
            </w:r>
          </w:p>
        </w:tc>
        <w:tc>
          <w:tcPr>
            <w:tcW w:w="1605" w:type="dxa"/>
            <w:tcBorders>
              <w:top w:val="single" w:sz="6" w:space="0" w:color="auto"/>
              <w:left w:val="single" w:sz="6" w:space="0" w:color="auto"/>
              <w:bottom w:val="single" w:sz="6" w:space="0" w:color="auto"/>
              <w:right w:val="single" w:sz="6" w:space="0" w:color="auto"/>
            </w:tcBorders>
          </w:tcPr>
          <w:p w14:paraId="6047B457" w14:textId="77777777" w:rsidR="00616CF8" w:rsidRPr="009D3788" w:rsidRDefault="00616CF8" w:rsidP="00F70092">
            <w:pPr>
              <w:pStyle w:val="PC56-HeadingLevel4-New"/>
              <w:rPr>
                <w:rFonts w:eastAsia="Arial"/>
                <w:color w:val="auto"/>
                <w:lang w:val="en-NZ"/>
              </w:rPr>
            </w:pPr>
            <w:r w:rsidRPr="009D3788">
              <w:rPr>
                <w:rFonts w:eastAsia="Arial"/>
                <w:color w:val="auto"/>
                <w:lang w:val="en-NZ"/>
              </w:rPr>
              <w:t>Height</w:t>
            </w:r>
          </w:p>
        </w:tc>
      </w:tr>
      <w:tr w:rsidR="009D3788" w:rsidRPr="009D3788" w14:paraId="3FBDF68B" w14:textId="77777777" w:rsidTr="00F70092">
        <w:trPr>
          <w:trHeight w:val="735"/>
        </w:trPr>
        <w:tc>
          <w:tcPr>
            <w:tcW w:w="7463" w:type="dxa"/>
            <w:tcBorders>
              <w:top w:val="single" w:sz="6" w:space="0" w:color="auto"/>
              <w:left w:val="single" w:sz="6" w:space="0" w:color="auto"/>
              <w:bottom w:val="single" w:sz="6" w:space="0" w:color="auto"/>
              <w:right w:val="single" w:sz="6" w:space="0" w:color="auto"/>
            </w:tcBorders>
          </w:tcPr>
          <w:p w14:paraId="217E5A09" w14:textId="77777777" w:rsidR="00616CF8" w:rsidRPr="009D3788" w:rsidRDefault="00616CF8" w:rsidP="00F70092">
            <w:pPr>
              <w:pStyle w:val="PC56-Normal-New"/>
              <w:rPr>
                <w:color w:val="auto"/>
                <w:lang w:val="en-NZ"/>
              </w:rPr>
            </w:pPr>
            <w:r w:rsidRPr="009D3788">
              <w:rPr>
                <w:color w:val="auto"/>
                <w:lang w:val="en-NZ"/>
              </w:rPr>
              <w:t>Central Commercial Activity Area – buildings and structures fronting on to streets, pedestrian malls, walkways, or other public space identified in Appendix Wind 1 – Central Commercial Additional Wind Protection</w:t>
            </w:r>
          </w:p>
        </w:tc>
        <w:tc>
          <w:tcPr>
            <w:tcW w:w="1605" w:type="dxa"/>
            <w:tcBorders>
              <w:top w:val="single" w:sz="6" w:space="0" w:color="auto"/>
              <w:left w:val="single" w:sz="6" w:space="0" w:color="auto"/>
              <w:bottom w:val="single" w:sz="6" w:space="0" w:color="auto"/>
              <w:right w:val="single" w:sz="6" w:space="0" w:color="auto"/>
            </w:tcBorders>
          </w:tcPr>
          <w:p w14:paraId="0750BF0C" w14:textId="77777777" w:rsidR="00616CF8" w:rsidRPr="009D3788" w:rsidRDefault="00616CF8" w:rsidP="00F70092">
            <w:pPr>
              <w:pStyle w:val="PC56-Normal-New"/>
              <w:rPr>
                <w:color w:val="auto"/>
                <w:lang w:val="en-NZ"/>
              </w:rPr>
            </w:pPr>
            <w:r w:rsidRPr="009D3788">
              <w:rPr>
                <w:color w:val="auto"/>
                <w:lang w:val="en-NZ"/>
              </w:rPr>
              <w:t>12 metres</w:t>
            </w:r>
          </w:p>
        </w:tc>
      </w:tr>
      <w:tr w:rsidR="009D3788" w:rsidRPr="009D3788" w14:paraId="4FE23F1B" w14:textId="77777777" w:rsidTr="00F70092">
        <w:trPr>
          <w:trHeight w:val="540"/>
        </w:trPr>
        <w:tc>
          <w:tcPr>
            <w:tcW w:w="7463" w:type="dxa"/>
            <w:tcBorders>
              <w:top w:val="single" w:sz="6" w:space="0" w:color="auto"/>
              <w:left w:val="single" w:sz="6" w:space="0" w:color="auto"/>
              <w:bottom w:val="single" w:sz="6" w:space="0" w:color="auto"/>
              <w:right w:val="single" w:sz="6" w:space="0" w:color="auto"/>
            </w:tcBorders>
          </w:tcPr>
          <w:p w14:paraId="75A7FB66" w14:textId="77777777" w:rsidR="00616CF8" w:rsidRPr="009D3788" w:rsidRDefault="00616CF8" w:rsidP="00F70092">
            <w:pPr>
              <w:pStyle w:val="PC56-Normal-New"/>
              <w:rPr>
                <w:color w:val="auto"/>
                <w:lang w:val="en-NZ"/>
              </w:rPr>
            </w:pPr>
            <w:r w:rsidRPr="009D3788">
              <w:rPr>
                <w:color w:val="auto"/>
                <w:lang w:val="en-NZ"/>
              </w:rPr>
              <w:t xml:space="preserve">Central Commercial Activity Area – other </w:t>
            </w:r>
          </w:p>
        </w:tc>
        <w:tc>
          <w:tcPr>
            <w:tcW w:w="1605" w:type="dxa"/>
            <w:tcBorders>
              <w:top w:val="single" w:sz="6" w:space="0" w:color="auto"/>
              <w:left w:val="single" w:sz="6" w:space="0" w:color="auto"/>
              <w:bottom w:val="single" w:sz="6" w:space="0" w:color="auto"/>
              <w:right w:val="single" w:sz="6" w:space="0" w:color="auto"/>
            </w:tcBorders>
          </w:tcPr>
          <w:p w14:paraId="48646E24" w14:textId="77777777" w:rsidR="00616CF8" w:rsidRPr="009D3788" w:rsidRDefault="00616CF8" w:rsidP="00F70092">
            <w:pPr>
              <w:pStyle w:val="PC56-Normal-New"/>
              <w:rPr>
                <w:color w:val="auto"/>
                <w:lang w:val="en-NZ"/>
              </w:rPr>
            </w:pPr>
            <w:r w:rsidRPr="009D3788">
              <w:rPr>
                <w:color w:val="auto"/>
                <w:lang w:val="en-NZ"/>
              </w:rPr>
              <w:t>22 metres</w:t>
            </w:r>
          </w:p>
        </w:tc>
      </w:tr>
      <w:tr w:rsidR="009D3788" w:rsidRPr="009D3788" w14:paraId="012B77C5" w14:textId="77777777" w:rsidTr="00F70092">
        <w:trPr>
          <w:trHeight w:val="540"/>
        </w:trPr>
        <w:tc>
          <w:tcPr>
            <w:tcW w:w="7463" w:type="dxa"/>
            <w:tcBorders>
              <w:top w:val="single" w:sz="6" w:space="0" w:color="auto"/>
              <w:left w:val="single" w:sz="6" w:space="0" w:color="auto"/>
              <w:bottom w:val="single" w:sz="6" w:space="0" w:color="auto"/>
              <w:right w:val="single" w:sz="6" w:space="0" w:color="auto"/>
            </w:tcBorders>
          </w:tcPr>
          <w:p w14:paraId="359BDB75" w14:textId="77777777" w:rsidR="00616CF8" w:rsidRPr="009D3788" w:rsidRDefault="00616CF8" w:rsidP="00F70092">
            <w:pPr>
              <w:pStyle w:val="PC56-Normal-New"/>
              <w:rPr>
                <w:color w:val="auto"/>
                <w:lang w:val="en-NZ"/>
              </w:rPr>
            </w:pPr>
            <w:r w:rsidRPr="009D3788">
              <w:rPr>
                <w:color w:val="auto"/>
                <w:lang w:val="en-NZ"/>
              </w:rPr>
              <w:t>Petone Commercial Activity Area 1 – Jackson Street (as shown in Appendix Petone Commercial 5)</w:t>
            </w:r>
          </w:p>
        </w:tc>
        <w:tc>
          <w:tcPr>
            <w:tcW w:w="1605" w:type="dxa"/>
            <w:tcBorders>
              <w:top w:val="single" w:sz="6" w:space="0" w:color="auto"/>
              <w:left w:val="single" w:sz="6" w:space="0" w:color="auto"/>
              <w:bottom w:val="single" w:sz="6" w:space="0" w:color="auto"/>
              <w:right w:val="single" w:sz="6" w:space="0" w:color="auto"/>
            </w:tcBorders>
          </w:tcPr>
          <w:p w14:paraId="373ED984" w14:textId="77777777" w:rsidR="00616CF8" w:rsidRPr="009D3788" w:rsidRDefault="00616CF8" w:rsidP="00F70092">
            <w:pPr>
              <w:pStyle w:val="PC56-Normal-New"/>
              <w:rPr>
                <w:color w:val="auto"/>
                <w:lang w:val="en-NZ"/>
              </w:rPr>
            </w:pPr>
            <w:r w:rsidRPr="009D3788">
              <w:rPr>
                <w:color w:val="auto"/>
                <w:lang w:val="en-NZ"/>
              </w:rPr>
              <w:t>12 metres</w:t>
            </w:r>
          </w:p>
        </w:tc>
      </w:tr>
      <w:tr w:rsidR="009D3788" w:rsidRPr="009D3788" w14:paraId="690643BD" w14:textId="77777777" w:rsidTr="00F70092">
        <w:trPr>
          <w:trHeight w:val="495"/>
        </w:trPr>
        <w:tc>
          <w:tcPr>
            <w:tcW w:w="7463" w:type="dxa"/>
            <w:tcBorders>
              <w:top w:val="single" w:sz="6" w:space="0" w:color="auto"/>
              <w:left w:val="single" w:sz="6" w:space="0" w:color="auto"/>
              <w:bottom w:val="single" w:sz="6" w:space="0" w:color="auto"/>
              <w:right w:val="single" w:sz="6" w:space="0" w:color="auto"/>
            </w:tcBorders>
          </w:tcPr>
          <w:p w14:paraId="7B9E79BC" w14:textId="77777777" w:rsidR="00616CF8" w:rsidRPr="009D3788" w:rsidRDefault="00616CF8" w:rsidP="00F70092">
            <w:pPr>
              <w:pStyle w:val="PC56-Normal-New"/>
              <w:rPr>
                <w:color w:val="auto"/>
                <w:lang w:val="en-NZ"/>
              </w:rPr>
            </w:pPr>
            <w:r w:rsidRPr="009D3788">
              <w:rPr>
                <w:color w:val="auto"/>
                <w:lang w:val="en-NZ"/>
              </w:rPr>
              <w:t>Petone Commercial Activity Area 2 – Petone Mixed Use (as shown in Appendix Petone Commercial 6)</w:t>
            </w:r>
          </w:p>
        </w:tc>
        <w:tc>
          <w:tcPr>
            <w:tcW w:w="1605" w:type="dxa"/>
            <w:tcBorders>
              <w:top w:val="single" w:sz="6" w:space="0" w:color="auto"/>
              <w:left w:val="single" w:sz="6" w:space="0" w:color="auto"/>
              <w:bottom w:val="single" w:sz="6" w:space="0" w:color="auto"/>
              <w:right w:val="single" w:sz="6" w:space="0" w:color="auto"/>
            </w:tcBorders>
          </w:tcPr>
          <w:p w14:paraId="09B111D8" w14:textId="77777777" w:rsidR="00616CF8" w:rsidRPr="009D3788" w:rsidRDefault="00616CF8" w:rsidP="00F70092">
            <w:pPr>
              <w:pStyle w:val="PC56-Normal-New"/>
              <w:rPr>
                <w:color w:val="auto"/>
                <w:lang w:val="en-NZ"/>
              </w:rPr>
            </w:pPr>
            <w:r w:rsidRPr="009D3788">
              <w:rPr>
                <w:color w:val="auto"/>
                <w:lang w:val="en-NZ"/>
              </w:rPr>
              <w:t>22 metres</w:t>
            </w:r>
          </w:p>
        </w:tc>
      </w:tr>
      <w:tr w:rsidR="009D3788" w:rsidRPr="009D3788" w14:paraId="71D6578F" w14:textId="77777777" w:rsidTr="00F70092">
        <w:trPr>
          <w:trHeight w:val="1860"/>
        </w:trPr>
        <w:tc>
          <w:tcPr>
            <w:tcW w:w="7463" w:type="dxa"/>
            <w:tcBorders>
              <w:top w:val="single" w:sz="6" w:space="0" w:color="auto"/>
              <w:left w:val="single" w:sz="6" w:space="0" w:color="auto"/>
              <w:bottom w:val="single" w:sz="6" w:space="0" w:color="auto"/>
              <w:right w:val="single" w:sz="6" w:space="0" w:color="auto"/>
            </w:tcBorders>
          </w:tcPr>
          <w:p w14:paraId="3061934F" w14:textId="77777777" w:rsidR="00616CF8" w:rsidRPr="009D3788" w:rsidRDefault="00616CF8" w:rsidP="00F70092">
            <w:pPr>
              <w:pStyle w:val="PC56-Normal-New"/>
              <w:rPr>
                <w:color w:val="auto"/>
                <w:lang w:val="en-NZ"/>
              </w:rPr>
            </w:pPr>
            <w:r w:rsidRPr="009D3788">
              <w:rPr>
                <w:color w:val="auto"/>
                <w:lang w:val="en-NZ"/>
              </w:rPr>
              <w:t>Suburban Mixed Use Activity Area</w:t>
            </w:r>
          </w:p>
          <w:p w14:paraId="2A5D1BE3" w14:textId="77777777" w:rsidR="00616CF8" w:rsidRPr="009D3788" w:rsidRDefault="00616CF8" w:rsidP="00F70092">
            <w:pPr>
              <w:pStyle w:val="PC56-Normal-New"/>
              <w:rPr>
                <w:color w:val="auto"/>
                <w:lang w:val="en-NZ"/>
              </w:rPr>
            </w:pPr>
            <w:r w:rsidRPr="009D3788">
              <w:rPr>
                <w:color w:val="auto"/>
                <w:lang w:val="en-NZ"/>
              </w:rPr>
              <w:t>Medium Density Residential Activity Area</w:t>
            </w:r>
          </w:p>
          <w:p w14:paraId="5103934E" w14:textId="77777777" w:rsidR="00616CF8" w:rsidRPr="009D3788" w:rsidRDefault="00616CF8" w:rsidP="00F70092">
            <w:pPr>
              <w:pStyle w:val="PC56-Normal-New"/>
              <w:rPr>
                <w:color w:val="auto"/>
                <w:lang w:val="en-NZ"/>
              </w:rPr>
            </w:pPr>
            <w:r w:rsidRPr="009D3788">
              <w:rPr>
                <w:color w:val="auto"/>
                <w:lang w:val="en-NZ"/>
              </w:rPr>
              <w:t>High Density Residential Activity Area</w:t>
            </w:r>
          </w:p>
          <w:p w14:paraId="1136E7E3" w14:textId="77777777" w:rsidR="00616CF8" w:rsidRPr="009D3788" w:rsidRDefault="00616CF8" w:rsidP="00F70092">
            <w:pPr>
              <w:pStyle w:val="PC56-Normal-New"/>
              <w:rPr>
                <w:color w:val="auto"/>
                <w:lang w:val="en-NZ"/>
              </w:rPr>
            </w:pPr>
            <w:r w:rsidRPr="009D3788">
              <w:rPr>
                <w:color w:val="auto"/>
                <w:lang w:val="en-NZ"/>
              </w:rPr>
              <w:t>Community Health Activity Area</w:t>
            </w:r>
          </w:p>
          <w:p w14:paraId="026AAD0F" w14:textId="77777777" w:rsidR="00616CF8" w:rsidRPr="009D3788" w:rsidRDefault="00616CF8" w:rsidP="00F70092">
            <w:pPr>
              <w:pStyle w:val="PC56-Normal-New"/>
              <w:rPr>
                <w:color w:val="auto"/>
                <w:lang w:val="en-NZ"/>
              </w:rPr>
            </w:pPr>
            <w:r w:rsidRPr="009D3788">
              <w:rPr>
                <w:color w:val="auto"/>
                <w:lang w:val="en-NZ"/>
              </w:rPr>
              <w:t>General Business Activity Area (where a height control overlay provides for a height limit greater than 12 metres)</w:t>
            </w:r>
          </w:p>
          <w:p w14:paraId="517DD7C3" w14:textId="77777777" w:rsidR="00616CF8" w:rsidRPr="009D3788" w:rsidRDefault="00616CF8" w:rsidP="00F70092">
            <w:pPr>
              <w:pStyle w:val="PC56-Normal-New"/>
              <w:rPr>
                <w:color w:val="auto"/>
                <w:lang w:val="en-NZ"/>
              </w:rPr>
            </w:pPr>
            <w:r w:rsidRPr="009D3788">
              <w:rPr>
                <w:color w:val="auto"/>
                <w:lang w:val="en-NZ"/>
              </w:rPr>
              <w:t>Community Iwi Activity Area (where a height control overlay provides for a height limit greater than 12 metres)</w:t>
            </w:r>
          </w:p>
        </w:tc>
        <w:tc>
          <w:tcPr>
            <w:tcW w:w="1605" w:type="dxa"/>
            <w:tcBorders>
              <w:top w:val="single" w:sz="6" w:space="0" w:color="auto"/>
              <w:left w:val="single" w:sz="6" w:space="0" w:color="auto"/>
              <w:bottom w:val="single" w:sz="6" w:space="0" w:color="auto"/>
              <w:right w:val="single" w:sz="6" w:space="0" w:color="auto"/>
            </w:tcBorders>
          </w:tcPr>
          <w:p w14:paraId="63CB4056" w14:textId="77777777" w:rsidR="00616CF8" w:rsidRPr="009D3788" w:rsidRDefault="00616CF8" w:rsidP="00F70092">
            <w:pPr>
              <w:pStyle w:val="PC56-Normal-New"/>
              <w:rPr>
                <w:color w:val="auto"/>
                <w:lang w:val="en-NZ"/>
              </w:rPr>
            </w:pPr>
            <w:r w:rsidRPr="009D3788">
              <w:rPr>
                <w:color w:val="auto"/>
                <w:lang w:val="en-NZ"/>
              </w:rPr>
              <w:t>12 metres</w:t>
            </w:r>
          </w:p>
          <w:p w14:paraId="077014B0" w14:textId="77777777" w:rsidR="00616CF8" w:rsidRPr="009D3788" w:rsidRDefault="00616CF8" w:rsidP="00F70092">
            <w:pPr>
              <w:pStyle w:val="PC56-Normal-New"/>
              <w:rPr>
                <w:color w:val="auto"/>
                <w:lang w:val="en-NZ"/>
              </w:rPr>
            </w:pPr>
          </w:p>
        </w:tc>
      </w:tr>
    </w:tbl>
    <w:p w14:paraId="6043D935" w14:textId="77777777" w:rsidR="005350FC" w:rsidRPr="009D3788" w:rsidRDefault="005350FC" w:rsidP="005350FC">
      <w:pPr>
        <w:pStyle w:val="ADMENDMENT"/>
        <w:ind w:left="-284"/>
        <w:rPr>
          <w:rStyle w:val="normaltextrun"/>
          <w:sz w:val="20"/>
          <w:szCs w:val="20"/>
        </w:rPr>
      </w:pPr>
    </w:p>
    <w:p w14:paraId="1C4B44E2" w14:textId="6B850CED"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48</w:t>
      </w:r>
      <w:r w:rsidRPr="009D3788">
        <w:rPr>
          <w:rStyle w:val="normaltextrun"/>
          <w:sz w:val="20"/>
          <w:szCs w:val="20"/>
        </w:rPr>
        <w:t xml:space="preserve"> - </w:t>
      </w:r>
      <w:r w:rsidR="00616CF8" w:rsidRPr="009D3788">
        <w:rPr>
          <w:rStyle w:val="normaltextrun"/>
          <w:sz w:val="20"/>
          <w:szCs w:val="20"/>
        </w:rPr>
        <w:t>Add new section 14M 2.1.2 Matters of Discretion</w:t>
      </w:r>
    </w:p>
    <w:p w14:paraId="0E9E6114" w14:textId="77777777" w:rsidR="00616CF8" w:rsidRPr="009D3788" w:rsidRDefault="00616CF8" w:rsidP="00616CF8">
      <w:pPr>
        <w:pStyle w:val="PC56-HeadingLevel2-New"/>
        <w:rPr>
          <w:color w:val="auto"/>
        </w:rPr>
      </w:pPr>
      <w:r w:rsidRPr="009D3788">
        <w:rPr>
          <w:color w:val="auto"/>
        </w:rPr>
        <w:t>14M 2.1.2</w:t>
      </w:r>
      <w:r w:rsidRPr="009D3788">
        <w:rPr>
          <w:color w:val="auto"/>
        </w:rPr>
        <w:tab/>
        <w:t xml:space="preserve">Matters in which Council has Restricted its Discretion </w:t>
      </w:r>
    </w:p>
    <w:p w14:paraId="6CFF00F9" w14:textId="77777777" w:rsidR="00616CF8" w:rsidRPr="009D3788" w:rsidRDefault="00616CF8" w:rsidP="00616CF8">
      <w:pPr>
        <w:pStyle w:val="PC56-Normal-New"/>
        <w:numPr>
          <w:ilvl w:val="0"/>
          <w:numId w:val="6"/>
        </w:numPr>
        <w:ind w:hanging="720"/>
        <w:rPr>
          <w:color w:val="auto"/>
          <w:lang w:val="en-NZ"/>
        </w:rPr>
      </w:pPr>
      <w:r w:rsidRPr="009D3788">
        <w:rPr>
          <w:color w:val="auto"/>
          <w:lang w:val="en-NZ"/>
        </w:rPr>
        <w:t>The extent of the effects of wind on public space, including cumulative effects.</w:t>
      </w:r>
    </w:p>
    <w:p w14:paraId="0DD53FF4" w14:textId="77777777" w:rsidR="00616CF8" w:rsidRPr="009D3788" w:rsidRDefault="00616CF8" w:rsidP="00616CF8">
      <w:pPr>
        <w:pStyle w:val="PC56-Normal-New"/>
        <w:numPr>
          <w:ilvl w:val="0"/>
          <w:numId w:val="6"/>
        </w:numPr>
        <w:ind w:hanging="720"/>
        <w:rPr>
          <w:color w:val="auto"/>
          <w:lang w:val="en-NZ"/>
        </w:rPr>
      </w:pPr>
      <w:r w:rsidRPr="009D3788">
        <w:rPr>
          <w:color w:val="auto"/>
          <w:lang w:val="en-NZ"/>
        </w:rPr>
        <w:t>Any adverse effects on existing wind mitigation measures.</w:t>
      </w:r>
    </w:p>
    <w:p w14:paraId="490331E8" w14:textId="77777777" w:rsidR="00616CF8" w:rsidRPr="009D3788" w:rsidRDefault="00616CF8" w:rsidP="00616CF8">
      <w:pPr>
        <w:pStyle w:val="PC56-Normal-New"/>
        <w:numPr>
          <w:ilvl w:val="0"/>
          <w:numId w:val="6"/>
        </w:numPr>
        <w:ind w:hanging="720"/>
        <w:rPr>
          <w:color w:val="auto"/>
          <w:lang w:val="en-NZ"/>
        </w:rPr>
      </w:pPr>
      <w:r w:rsidRPr="009D3788">
        <w:rPr>
          <w:color w:val="auto"/>
          <w:lang w:val="en-NZ"/>
        </w:rPr>
        <w:t>The extent to which the design contributes to an improvement of existing unsafe wind conditions.</w:t>
      </w:r>
    </w:p>
    <w:p w14:paraId="1A9E68F3" w14:textId="77777777" w:rsidR="00616CF8" w:rsidRPr="009D3788" w:rsidRDefault="00616CF8" w:rsidP="00616CF8">
      <w:pPr>
        <w:pStyle w:val="PC56-Normal-New"/>
        <w:numPr>
          <w:ilvl w:val="0"/>
          <w:numId w:val="6"/>
        </w:numPr>
        <w:ind w:hanging="720"/>
        <w:rPr>
          <w:color w:val="auto"/>
          <w:lang w:val="en-NZ"/>
        </w:rPr>
      </w:pPr>
      <w:r w:rsidRPr="009D3788">
        <w:rPr>
          <w:color w:val="auto"/>
          <w:lang w:val="en-NZ"/>
        </w:rPr>
        <w:t>The ongoing protection and operation of wind mitigation measures that are required to meet the performance standards in this chapter.</w:t>
      </w:r>
    </w:p>
    <w:p w14:paraId="310212FE" w14:textId="77777777" w:rsidR="005350FC" w:rsidRPr="009D3788" w:rsidRDefault="005350FC" w:rsidP="005350FC">
      <w:pPr>
        <w:pStyle w:val="ADMENDMENT"/>
        <w:ind w:left="-284"/>
        <w:rPr>
          <w:rStyle w:val="normaltextrun"/>
          <w:sz w:val="20"/>
          <w:szCs w:val="20"/>
        </w:rPr>
      </w:pPr>
    </w:p>
    <w:p w14:paraId="3A738C63" w14:textId="75E80649"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49</w:t>
      </w:r>
      <w:r w:rsidRPr="009D3788">
        <w:rPr>
          <w:rStyle w:val="normaltextrun"/>
          <w:sz w:val="20"/>
          <w:szCs w:val="20"/>
        </w:rPr>
        <w:t xml:space="preserve"> - </w:t>
      </w:r>
      <w:r w:rsidR="00616CF8" w:rsidRPr="009D3788">
        <w:rPr>
          <w:rStyle w:val="normaltextrun"/>
          <w:sz w:val="20"/>
          <w:szCs w:val="20"/>
        </w:rPr>
        <w:t>Add new section 14M 2.1.3 Standards</w:t>
      </w:r>
    </w:p>
    <w:p w14:paraId="7DDD7552" w14:textId="77777777" w:rsidR="00616CF8" w:rsidRPr="009D3788" w:rsidRDefault="00616CF8" w:rsidP="00616CF8">
      <w:pPr>
        <w:pStyle w:val="PC56-HeadingLevel2-New"/>
        <w:rPr>
          <w:color w:val="auto"/>
        </w:rPr>
      </w:pPr>
      <w:r w:rsidRPr="009D3788">
        <w:rPr>
          <w:color w:val="auto"/>
        </w:rPr>
        <w:t>14M 2.1.3</w:t>
      </w:r>
      <w:r w:rsidRPr="009D3788">
        <w:rPr>
          <w:color w:val="auto"/>
        </w:rPr>
        <w:tab/>
        <w:t>Standards</w:t>
      </w:r>
    </w:p>
    <w:p w14:paraId="33EAD64E" w14:textId="77777777" w:rsidR="00616CF8" w:rsidRPr="009D3788" w:rsidRDefault="00616CF8" w:rsidP="00616CF8">
      <w:pPr>
        <w:pStyle w:val="PC56-Normal-New"/>
        <w:rPr>
          <w:color w:val="auto"/>
          <w:lang w:val="en-NZ"/>
        </w:rPr>
      </w:pPr>
      <w:r w:rsidRPr="009D3788">
        <w:rPr>
          <w:color w:val="auto"/>
          <w:lang w:val="en-NZ"/>
        </w:rPr>
        <w:t>The buildings and structures shall be designed to comply with the following conditions:</w:t>
      </w:r>
    </w:p>
    <w:p w14:paraId="532C5091" w14:textId="77777777" w:rsidR="00616CF8" w:rsidRPr="009D3788" w:rsidRDefault="00616CF8" w:rsidP="00616CF8">
      <w:pPr>
        <w:pStyle w:val="PC56-Normal-New"/>
        <w:numPr>
          <w:ilvl w:val="0"/>
          <w:numId w:val="7"/>
        </w:numPr>
        <w:ind w:hanging="720"/>
        <w:rPr>
          <w:color w:val="auto"/>
          <w:lang w:val="en-NZ"/>
        </w:rPr>
      </w:pPr>
      <w:r w:rsidRPr="009D3788">
        <w:rPr>
          <w:color w:val="auto"/>
          <w:lang w:val="en-NZ"/>
        </w:rPr>
        <w:t>Safety: The safety criteria shall apply to all public space. The annual maximum 3-second gust speed shall not exceed 20 m/s. If the annual maximum 3-second gust speed exceeds 20 m/s with the proposed development, it must be reduced to 20 m/s or below.</w:t>
      </w:r>
    </w:p>
    <w:p w14:paraId="661BA988" w14:textId="77777777" w:rsidR="00616CF8" w:rsidRPr="009D3788" w:rsidRDefault="00616CF8" w:rsidP="00616CF8">
      <w:pPr>
        <w:pStyle w:val="PC56-Normal-New"/>
        <w:numPr>
          <w:ilvl w:val="0"/>
          <w:numId w:val="7"/>
        </w:numPr>
        <w:ind w:hanging="720"/>
        <w:rPr>
          <w:color w:val="auto"/>
          <w:lang w:val="en-NZ"/>
        </w:rPr>
      </w:pPr>
      <w:r w:rsidRPr="009D3788">
        <w:rPr>
          <w:color w:val="auto"/>
          <w:lang w:val="en-NZ"/>
        </w:rPr>
        <w:t>Deterioration of the wind environment criteria apply to all public space.</w:t>
      </w:r>
    </w:p>
    <w:p w14:paraId="4E43C4F6" w14:textId="77777777" w:rsidR="00616CF8" w:rsidRPr="009D3788" w:rsidRDefault="00616CF8" w:rsidP="00616CF8">
      <w:pPr>
        <w:pStyle w:val="PC56-Normal-New"/>
        <w:numPr>
          <w:ilvl w:val="0"/>
          <w:numId w:val="8"/>
        </w:numPr>
        <w:rPr>
          <w:color w:val="auto"/>
          <w:lang w:val="en-NZ"/>
        </w:rPr>
      </w:pPr>
      <w:r w:rsidRPr="009D3788">
        <w:rPr>
          <w:color w:val="auto"/>
          <w:lang w:val="en-NZ"/>
        </w:rPr>
        <w:t>At all locations within public spaces, a proposed building must not increase the number of hours that the mean hourly wind speed equals or exceeds 2.5 m/s by more than 480 hours per year compared to the existing wind environment.</w:t>
      </w:r>
    </w:p>
    <w:p w14:paraId="18E7E331" w14:textId="77777777" w:rsidR="00616CF8" w:rsidRPr="009D3788" w:rsidRDefault="00616CF8" w:rsidP="00616CF8">
      <w:pPr>
        <w:pStyle w:val="PC56-Normal-New"/>
        <w:numPr>
          <w:ilvl w:val="0"/>
          <w:numId w:val="8"/>
        </w:numPr>
        <w:rPr>
          <w:color w:val="auto"/>
          <w:lang w:val="en-NZ"/>
        </w:rPr>
      </w:pPr>
      <w:r w:rsidRPr="009D3788">
        <w:rPr>
          <w:color w:val="auto"/>
          <w:lang w:val="en-NZ"/>
        </w:rPr>
        <w:t>The overall impact of a proposed building, considering all locations within public spaces and their associated uses, on the annual change in the number of hours that the mean hourly wind speed equals or exceeds 2.5 m/s must be neutral or beneficial.</w:t>
      </w:r>
    </w:p>
    <w:p w14:paraId="13038FC4" w14:textId="77777777" w:rsidR="00616CF8" w:rsidRPr="009D3788" w:rsidRDefault="00616CF8" w:rsidP="00616CF8">
      <w:pPr>
        <w:pStyle w:val="PC56-Normal-New"/>
        <w:numPr>
          <w:ilvl w:val="0"/>
          <w:numId w:val="7"/>
        </w:numPr>
        <w:ind w:hanging="720"/>
        <w:rPr>
          <w:color w:val="auto"/>
          <w:lang w:val="en-NZ"/>
        </w:rPr>
      </w:pPr>
      <w:r w:rsidRPr="009D3788">
        <w:rPr>
          <w:color w:val="auto"/>
          <w:lang w:val="en-NZ"/>
        </w:rPr>
        <w:t>Comfort: The comfort criteria only apply to the public spaces listed in Appendix Wind 1 – Central Commercial Additional Wind Protection. At all locations in public places shown in that appendix, a proposed building must:</w:t>
      </w:r>
    </w:p>
    <w:p w14:paraId="0AAF1831" w14:textId="77777777" w:rsidR="00616CF8" w:rsidRPr="009D3788" w:rsidRDefault="00616CF8" w:rsidP="00616CF8">
      <w:pPr>
        <w:pStyle w:val="PC56-Normal-New"/>
        <w:numPr>
          <w:ilvl w:val="0"/>
          <w:numId w:val="9"/>
        </w:numPr>
        <w:rPr>
          <w:color w:val="auto"/>
          <w:lang w:val="en-NZ"/>
        </w:rPr>
      </w:pPr>
      <w:r w:rsidRPr="009D3788">
        <w:rPr>
          <w:color w:val="auto"/>
          <w:lang w:val="en-NZ"/>
        </w:rPr>
        <w:lastRenderedPageBreak/>
        <w:t>Maintain or improve the existing wind conditions if the mean hourly wind speed equals or exceeds 2.5 m/s for more than 1,700 hours each year, or</w:t>
      </w:r>
    </w:p>
    <w:p w14:paraId="7A3FB5F0" w14:textId="77777777" w:rsidR="00616CF8" w:rsidRPr="009D3788" w:rsidRDefault="00616CF8" w:rsidP="00616CF8">
      <w:pPr>
        <w:pStyle w:val="PC56-Normal-New"/>
        <w:numPr>
          <w:ilvl w:val="0"/>
          <w:numId w:val="9"/>
        </w:numPr>
        <w:rPr>
          <w:color w:val="auto"/>
          <w:lang w:val="en-NZ"/>
        </w:rPr>
      </w:pPr>
      <w:r w:rsidRPr="009D3788">
        <w:rPr>
          <w:color w:val="auto"/>
          <w:lang w:val="en-NZ"/>
        </w:rPr>
        <w:t>Limit the number of hours that the mean hourly wind speed equals or exceeds 2.5 m/s to 1,700 hours each year if the existing wind conditions have mean hourly wind speeds of 2.5 m/s equalled or exceeded for less than 1,700 hours each year.</w:t>
      </w:r>
    </w:p>
    <w:p w14:paraId="7933A37B" w14:textId="77777777" w:rsidR="00616CF8" w:rsidRPr="009D3788" w:rsidRDefault="00616CF8" w:rsidP="00616CF8">
      <w:pPr>
        <w:pStyle w:val="PC56-Normal-New"/>
        <w:numPr>
          <w:ilvl w:val="0"/>
          <w:numId w:val="7"/>
        </w:numPr>
        <w:ind w:hanging="720"/>
        <w:rPr>
          <w:color w:val="auto"/>
          <w:lang w:val="en-NZ"/>
        </w:rPr>
      </w:pPr>
      <w:r w:rsidRPr="009D3788">
        <w:rPr>
          <w:color w:val="auto"/>
          <w:lang w:val="en-NZ"/>
        </w:rPr>
        <w:t>A wind report demonstrating compliance with Standards 14C2.1.3 (a)-(c) must be prepared in accordance with the requirements outlined in Appendix Wind 2 – Wind Reports.</w:t>
      </w:r>
    </w:p>
    <w:p w14:paraId="7646A9C8" w14:textId="77777777" w:rsidR="005350FC" w:rsidRPr="009D3788" w:rsidRDefault="005350FC" w:rsidP="005350FC">
      <w:pPr>
        <w:pStyle w:val="ADMENDMENT"/>
        <w:ind w:left="-284"/>
        <w:rPr>
          <w:rStyle w:val="normaltextrun"/>
          <w:sz w:val="20"/>
          <w:szCs w:val="20"/>
        </w:rPr>
      </w:pPr>
    </w:p>
    <w:p w14:paraId="0670BFF9" w14:textId="1045AB47" w:rsidR="00616CF8" w:rsidRPr="009D3788" w:rsidRDefault="005350FC" w:rsidP="005350FC">
      <w:pPr>
        <w:pStyle w:val="ADMENDMENT"/>
        <w:ind w:left="-284"/>
        <w:rPr>
          <w:rFonts w:eastAsia="Arial"/>
          <w:i w:val="0"/>
        </w:rPr>
      </w:pPr>
      <w:r w:rsidRPr="009D3788">
        <w:rPr>
          <w:rStyle w:val="normaltextrun"/>
          <w:sz w:val="20"/>
          <w:szCs w:val="20"/>
        </w:rPr>
        <w:t>AMENDMENT 4</w:t>
      </w:r>
      <w:r w:rsidR="003C72D7" w:rsidRPr="009D3788">
        <w:rPr>
          <w:rStyle w:val="normaltextrun"/>
          <w:sz w:val="20"/>
          <w:szCs w:val="20"/>
        </w:rPr>
        <w:t>50</w:t>
      </w:r>
      <w:r w:rsidRPr="009D3788">
        <w:rPr>
          <w:rStyle w:val="normaltextrun"/>
          <w:sz w:val="20"/>
          <w:szCs w:val="20"/>
        </w:rPr>
        <w:t xml:space="preserve"> - </w:t>
      </w:r>
      <w:r w:rsidR="00616CF8" w:rsidRPr="009D3788">
        <w:rPr>
          <w:rStyle w:val="normaltextrun"/>
          <w:sz w:val="20"/>
          <w:szCs w:val="20"/>
        </w:rPr>
        <w:t>Add new Rule 2.2(a)</w:t>
      </w:r>
    </w:p>
    <w:p w14:paraId="2E816CDA" w14:textId="77777777" w:rsidR="00616CF8" w:rsidRPr="009D3788" w:rsidRDefault="00616CF8" w:rsidP="00616CF8">
      <w:pPr>
        <w:pStyle w:val="PC56-HeadingLevel2-New"/>
        <w:rPr>
          <w:color w:val="auto"/>
        </w:rPr>
      </w:pPr>
      <w:r w:rsidRPr="009D3788">
        <w:rPr>
          <w:color w:val="auto"/>
        </w:rPr>
        <w:t>14M 2.2</w:t>
      </w:r>
      <w:r w:rsidRPr="009D3788">
        <w:rPr>
          <w:color w:val="auto"/>
        </w:rPr>
        <w:tab/>
        <w:t>Discretionary Activities</w:t>
      </w:r>
    </w:p>
    <w:p w14:paraId="3639C648" w14:textId="77777777" w:rsidR="00616CF8" w:rsidRPr="009D3788" w:rsidRDefault="00616CF8" w:rsidP="00616CF8">
      <w:pPr>
        <w:pStyle w:val="PC56-Normal-New"/>
        <w:numPr>
          <w:ilvl w:val="0"/>
          <w:numId w:val="10"/>
        </w:numPr>
        <w:ind w:hanging="720"/>
        <w:rPr>
          <w:color w:val="auto"/>
          <w:lang w:val="en-NZ"/>
        </w:rPr>
      </w:pPr>
      <w:r w:rsidRPr="009D3788">
        <w:rPr>
          <w:color w:val="auto"/>
          <w:lang w:val="en-NZ"/>
        </w:rPr>
        <w:t>Any activity provided for in this chapter as a restricted discretionary activity that does not comply with the relevant restricted discretionary activity standards.</w:t>
      </w:r>
    </w:p>
    <w:p w14:paraId="20740EBE" w14:textId="77777777" w:rsidR="005350FC" w:rsidRPr="009D3788" w:rsidRDefault="005350FC" w:rsidP="005350FC">
      <w:pPr>
        <w:pStyle w:val="ADMENDMENT"/>
        <w:ind w:left="-284"/>
        <w:rPr>
          <w:rStyle w:val="normaltextrun"/>
          <w:sz w:val="20"/>
          <w:szCs w:val="20"/>
        </w:rPr>
      </w:pPr>
    </w:p>
    <w:p w14:paraId="66A8B649" w14:textId="77FA7C1B"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51</w:t>
      </w:r>
      <w:r w:rsidRPr="009D3788">
        <w:rPr>
          <w:rStyle w:val="normaltextrun"/>
          <w:sz w:val="20"/>
          <w:szCs w:val="20"/>
        </w:rPr>
        <w:t xml:space="preserve"> - </w:t>
      </w:r>
      <w:r w:rsidR="00616CF8" w:rsidRPr="009D3788">
        <w:rPr>
          <w:rStyle w:val="normaltextrun"/>
          <w:sz w:val="20"/>
          <w:szCs w:val="20"/>
        </w:rPr>
        <w:t>Add new section 14M Appendices</w:t>
      </w:r>
    </w:p>
    <w:p w14:paraId="7165F6F8" w14:textId="77777777" w:rsidR="00616CF8" w:rsidRPr="009D3788" w:rsidRDefault="00616CF8" w:rsidP="00616CF8">
      <w:pPr>
        <w:pStyle w:val="PC56-HeadingLevel1-New"/>
        <w:rPr>
          <w:color w:val="auto"/>
        </w:rPr>
      </w:pPr>
      <w:r w:rsidRPr="009D3788">
        <w:rPr>
          <w:color w:val="auto"/>
        </w:rPr>
        <w:t>14M</w:t>
      </w:r>
      <w:r w:rsidRPr="009D3788">
        <w:rPr>
          <w:color w:val="auto"/>
        </w:rPr>
        <w:tab/>
        <w:t>Appendices</w:t>
      </w:r>
    </w:p>
    <w:p w14:paraId="7FD8057E" w14:textId="77777777" w:rsidR="005350FC" w:rsidRPr="009D3788" w:rsidRDefault="005350FC" w:rsidP="005350FC">
      <w:pPr>
        <w:pStyle w:val="ADMENDMENT"/>
        <w:ind w:left="-284"/>
        <w:rPr>
          <w:rStyle w:val="normaltextrun"/>
          <w:sz w:val="20"/>
          <w:szCs w:val="20"/>
        </w:rPr>
      </w:pPr>
    </w:p>
    <w:p w14:paraId="01AA9CE3" w14:textId="4D24E184"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52</w:t>
      </w:r>
      <w:r w:rsidRPr="009D3788">
        <w:rPr>
          <w:rStyle w:val="normaltextrun"/>
          <w:sz w:val="20"/>
          <w:szCs w:val="20"/>
        </w:rPr>
        <w:t xml:space="preserve"> - </w:t>
      </w:r>
      <w:r w:rsidR="00616CF8" w:rsidRPr="009D3788">
        <w:rPr>
          <w:rStyle w:val="normaltextrun"/>
          <w:sz w:val="20"/>
          <w:szCs w:val="20"/>
        </w:rPr>
        <w:t>Add new Appendix Wind 1 - Central Commercial Additional Wind Protection</w:t>
      </w:r>
    </w:p>
    <w:p w14:paraId="09515C87" w14:textId="77777777" w:rsidR="00616CF8" w:rsidRPr="009D3788" w:rsidRDefault="00616CF8" w:rsidP="00616CF8">
      <w:pPr>
        <w:pStyle w:val="PC56-HeadingLevel2-New"/>
        <w:rPr>
          <w:color w:val="auto"/>
        </w:rPr>
      </w:pPr>
      <w:r w:rsidRPr="009D3788">
        <w:rPr>
          <w:color w:val="auto"/>
        </w:rPr>
        <w:lastRenderedPageBreak/>
        <w:t>Appendix Wind 1 ­ Central Commercial Additional Wind Protection</w:t>
      </w:r>
    </w:p>
    <w:p w14:paraId="11575308" w14:textId="77777777" w:rsidR="00616CF8" w:rsidRPr="009D3788" w:rsidRDefault="00616CF8" w:rsidP="00616CF8">
      <w:pPr>
        <w:pStyle w:val="PC56-Amendmentheading"/>
        <w:numPr>
          <w:ilvl w:val="0"/>
          <w:numId w:val="0"/>
        </w:numPr>
      </w:pPr>
      <w:r w:rsidRPr="009D3788">
        <w:rPr>
          <w:noProof/>
        </w:rPr>
        <w:drawing>
          <wp:inline distT="0" distB="0" distL="0" distR="0" wp14:anchorId="255ED819" wp14:editId="497A8DA2">
            <wp:extent cx="4572000" cy="6515100"/>
            <wp:effectExtent l="38100" t="38100" r="38100" b="38100"/>
            <wp:docPr id="9" name="Picture 9"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 engineering drawing&#10;&#10;Description automatically generated"/>
                    <pic:cNvPicPr/>
                  </pic:nvPicPr>
                  <pic:blipFill>
                    <a:blip r:embed="rId11"/>
                    <a:stretch>
                      <a:fillRect/>
                    </a:stretch>
                  </pic:blipFill>
                  <pic:spPr>
                    <a:xfrm>
                      <a:off x="0" y="0"/>
                      <a:ext cx="4572000" cy="6515100"/>
                    </a:xfrm>
                    <a:prstGeom prst="rect">
                      <a:avLst/>
                    </a:prstGeom>
                    <a:ln w="25400">
                      <a:solidFill>
                        <a:schemeClr val="tx1"/>
                      </a:solidFill>
                      <a:prstDash val="sysDash"/>
                    </a:ln>
                  </pic:spPr>
                </pic:pic>
              </a:graphicData>
            </a:graphic>
          </wp:inline>
        </w:drawing>
      </w:r>
    </w:p>
    <w:p w14:paraId="492C2A8C" w14:textId="77777777" w:rsidR="005350FC" w:rsidRPr="009D3788" w:rsidRDefault="005350FC" w:rsidP="005350FC">
      <w:pPr>
        <w:pStyle w:val="ADMENDMENT"/>
        <w:ind w:left="-284"/>
        <w:rPr>
          <w:rStyle w:val="normaltextrun"/>
          <w:sz w:val="20"/>
          <w:szCs w:val="20"/>
        </w:rPr>
      </w:pPr>
    </w:p>
    <w:p w14:paraId="036A8F8F" w14:textId="71E364AF" w:rsidR="00616CF8" w:rsidRPr="009D3788" w:rsidRDefault="005350FC" w:rsidP="005350FC">
      <w:pPr>
        <w:pStyle w:val="ADMENDMENT"/>
        <w:ind w:left="-284"/>
        <w:rPr>
          <w:rStyle w:val="normaltextrun"/>
          <w:sz w:val="20"/>
          <w:szCs w:val="20"/>
        </w:rPr>
      </w:pPr>
      <w:r w:rsidRPr="009D3788">
        <w:rPr>
          <w:rStyle w:val="normaltextrun"/>
          <w:sz w:val="20"/>
          <w:szCs w:val="20"/>
        </w:rPr>
        <w:t>AMENDMENT 4</w:t>
      </w:r>
      <w:r w:rsidR="003C72D7" w:rsidRPr="009D3788">
        <w:rPr>
          <w:rStyle w:val="normaltextrun"/>
          <w:sz w:val="20"/>
          <w:szCs w:val="20"/>
        </w:rPr>
        <w:t>53</w:t>
      </w:r>
      <w:r w:rsidRPr="009D3788">
        <w:rPr>
          <w:rStyle w:val="normaltextrun"/>
          <w:sz w:val="20"/>
          <w:szCs w:val="20"/>
        </w:rPr>
        <w:t xml:space="preserve"> - </w:t>
      </w:r>
      <w:r w:rsidR="00616CF8" w:rsidRPr="009D3788">
        <w:rPr>
          <w:rStyle w:val="normaltextrun"/>
          <w:sz w:val="20"/>
          <w:szCs w:val="20"/>
        </w:rPr>
        <w:t>Add new Appendix Wind 2 – Wind Reports</w:t>
      </w:r>
    </w:p>
    <w:p w14:paraId="2A121F24" w14:textId="77777777" w:rsidR="00616CF8" w:rsidRPr="009D3788" w:rsidRDefault="00616CF8" w:rsidP="00616CF8">
      <w:pPr>
        <w:pStyle w:val="PC56-HeadingLevel2-New"/>
        <w:rPr>
          <w:color w:val="auto"/>
        </w:rPr>
      </w:pPr>
      <w:r w:rsidRPr="009D3788">
        <w:rPr>
          <w:color w:val="auto"/>
        </w:rPr>
        <w:t>Appendix Wind 2 ­ Wind Reports</w:t>
      </w:r>
    </w:p>
    <w:p w14:paraId="144178C7" w14:textId="77777777" w:rsidR="00616CF8" w:rsidRPr="009D3788" w:rsidRDefault="00616CF8" w:rsidP="00616CF8">
      <w:pPr>
        <w:pStyle w:val="PC56-Normal-New"/>
        <w:rPr>
          <w:color w:val="auto"/>
          <w:lang w:val="en-NZ"/>
        </w:rPr>
      </w:pPr>
      <w:r w:rsidRPr="009D3788">
        <w:rPr>
          <w:color w:val="auto"/>
          <w:lang w:val="en-NZ"/>
        </w:rPr>
        <w:t>Buildings and structures covered by this chapter require a wind assessment report to identify and describe measures for addressing the potential adverse of wind on public space, including streets. The report may be either quantitative or qualitative, as described below.</w:t>
      </w:r>
    </w:p>
    <w:p w14:paraId="2EC335D2" w14:textId="77777777" w:rsidR="00616CF8" w:rsidRPr="009D3788" w:rsidRDefault="00616CF8" w:rsidP="00616CF8">
      <w:pPr>
        <w:pStyle w:val="PC56-Normal-New"/>
        <w:rPr>
          <w:color w:val="auto"/>
          <w:lang w:val="en-NZ"/>
        </w:rPr>
      </w:pPr>
      <w:r w:rsidRPr="009D3788">
        <w:rPr>
          <w:color w:val="auto"/>
          <w:lang w:val="en-NZ"/>
        </w:rPr>
        <w:t>A quantitative wind assessment should be used:</w:t>
      </w:r>
    </w:p>
    <w:p w14:paraId="11F496BA" w14:textId="77777777" w:rsidR="00616CF8" w:rsidRPr="009D3788" w:rsidRDefault="00616CF8" w:rsidP="00616CF8">
      <w:pPr>
        <w:pStyle w:val="PC56-Normal-New"/>
        <w:numPr>
          <w:ilvl w:val="0"/>
          <w:numId w:val="11"/>
        </w:numPr>
        <w:rPr>
          <w:color w:val="auto"/>
          <w:lang w:val="en-NZ"/>
        </w:rPr>
      </w:pPr>
      <w:r w:rsidRPr="009D3788">
        <w:rPr>
          <w:color w:val="auto"/>
          <w:lang w:val="en-NZ"/>
        </w:rPr>
        <w:t>for new buildings and structures over 22 metres in height, or</w:t>
      </w:r>
    </w:p>
    <w:p w14:paraId="6F472473" w14:textId="77777777" w:rsidR="00616CF8" w:rsidRPr="009D3788" w:rsidRDefault="00616CF8" w:rsidP="00616CF8">
      <w:pPr>
        <w:pStyle w:val="PC56-Normal-New"/>
        <w:numPr>
          <w:ilvl w:val="0"/>
          <w:numId w:val="11"/>
        </w:numPr>
        <w:rPr>
          <w:color w:val="auto"/>
          <w:lang w:val="en-NZ"/>
        </w:rPr>
      </w:pPr>
      <w:r w:rsidRPr="009D3788">
        <w:rPr>
          <w:color w:val="auto"/>
          <w:lang w:val="en-NZ"/>
        </w:rPr>
        <w:t>for alterations and additions to existing buildings and structures that both:</w:t>
      </w:r>
    </w:p>
    <w:p w14:paraId="174E498A" w14:textId="77777777" w:rsidR="00616CF8" w:rsidRPr="009D3788" w:rsidRDefault="00616CF8" w:rsidP="00616CF8">
      <w:pPr>
        <w:pStyle w:val="PC56-Normal-New"/>
        <w:numPr>
          <w:ilvl w:val="1"/>
          <w:numId w:val="11"/>
        </w:numPr>
        <w:rPr>
          <w:color w:val="auto"/>
          <w:lang w:val="en-NZ"/>
        </w:rPr>
      </w:pPr>
      <w:r w:rsidRPr="009D3788">
        <w:rPr>
          <w:color w:val="auto"/>
          <w:lang w:val="en-NZ"/>
        </w:rPr>
        <w:t xml:space="preserve">increase their height by over 5 metres over their existing height, and </w:t>
      </w:r>
    </w:p>
    <w:p w14:paraId="3167ED0E" w14:textId="77777777" w:rsidR="00616CF8" w:rsidRPr="009D3788" w:rsidRDefault="00616CF8" w:rsidP="00616CF8">
      <w:pPr>
        <w:pStyle w:val="PC56-Normal-New"/>
        <w:numPr>
          <w:ilvl w:val="1"/>
          <w:numId w:val="11"/>
        </w:numPr>
        <w:rPr>
          <w:color w:val="auto"/>
          <w:lang w:val="en-NZ"/>
        </w:rPr>
      </w:pPr>
      <w:r w:rsidRPr="009D3788">
        <w:rPr>
          <w:color w:val="auto"/>
          <w:lang w:val="en-NZ"/>
        </w:rPr>
        <w:lastRenderedPageBreak/>
        <w:t>result in a total height over 22 metres</w:t>
      </w:r>
    </w:p>
    <w:p w14:paraId="7AFDF538" w14:textId="77777777" w:rsidR="00616CF8" w:rsidRPr="009D3788" w:rsidRDefault="00616CF8" w:rsidP="00616CF8">
      <w:pPr>
        <w:pStyle w:val="PC56-Normal-New"/>
        <w:rPr>
          <w:color w:val="auto"/>
          <w:lang w:val="en-NZ"/>
        </w:rPr>
      </w:pPr>
      <w:r w:rsidRPr="009D3788">
        <w:rPr>
          <w:color w:val="auto"/>
          <w:lang w:val="en-NZ"/>
        </w:rPr>
        <w:t>A qualitative wind assessment should be used for situations that do not meet the thresholds that necessitate a quantitative wind assessment.</w:t>
      </w:r>
    </w:p>
    <w:p w14:paraId="7BB55BF4" w14:textId="77777777" w:rsidR="00616CF8" w:rsidRPr="009D3788" w:rsidRDefault="00616CF8" w:rsidP="00616CF8">
      <w:pPr>
        <w:pStyle w:val="PC56-Normal-New"/>
        <w:rPr>
          <w:color w:val="auto"/>
          <w:lang w:val="en-NZ"/>
        </w:rPr>
      </w:pPr>
      <w:r w:rsidRPr="009D3788">
        <w:rPr>
          <w:color w:val="auto"/>
          <w:lang w:val="en-NZ"/>
        </w:rPr>
        <w:t>A wind report may also be required for the removal or alteration of wind mitigation measures from an existing resource consent. That resource consent should be consulted to determine whether a quantitative or qualitative assessment is required.</w:t>
      </w:r>
    </w:p>
    <w:p w14:paraId="77958E28" w14:textId="77777777" w:rsidR="00616CF8" w:rsidRPr="009D3788" w:rsidRDefault="00616CF8" w:rsidP="00616CF8">
      <w:pPr>
        <w:pStyle w:val="PC56-HeadingLevel3-New"/>
        <w:rPr>
          <w:color w:val="auto"/>
        </w:rPr>
      </w:pPr>
      <w:r w:rsidRPr="009D3788">
        <w:rPr>
          <w:color w:val="auto"/>
        </w:rPr>
        <w:t>Quantitative Wind Assessment</w:t>
      </w:r>
    </w:p>
    <w:p w14:paraId="3F7B91BD" w14:textId="77777777" w:rsidR="00616CF8" w:rsidRPr="009D3788" w:rsidRDefault="00616CF8" w:rsidP="00616CF8">
      <w:pPr>
        <w:pStyle w:val="PC56-Normal-New"/>
        <w:rPr>
          <w:color w:val="auto"/>
          <w:lang w:val="en-NZ"/>
        </w:rPr>
      </w:pPr>
      <w:r w:rsidRPr="009D3788">
        <w:rPr>
          <w:color w:val="auto"/>
          <w:lang w:val="en-NZ"/>
        </w:rPr>
        <w:t>A quantitative assessment is based on the results of wind tunnel testing, or a suitable equivalent (</w:t>
      </w:r>
      <w:proofErr w:type="gramStart"/>
      <w:r w:rsidRPr="009D3788">
        <w:rPr>
          <w:color w:val="auto"/>
          <w:lang w:val="en-NZ"/>
        </w:rPr>
        <w:t>e.g.</w:t>
      </w:r>
      <w:proofErr w:type="gramEnd"/>
      <w:r w:rsidRPr="009D3788">
        <w:rPr>
          <w:color w:val="auto"/>
          <w:lang w:val="en-NZ"/>
        </w:rPr>
        <w:t xml:space="preserve"> computational fluid dynamics software calibrated against measured data). It should quantify the extent and magnitude of the effect of the building on the surrounding pedestrian level wind environment by measuring and comparing the wind conditions of the existing site with those of the proposed building.</w:t>
      </w:r>
    </w:p>
    <w:p w14:paraId="0292C739" w14:textId="77777777" w:rsidR="00616CF8" w:rsidRPr="009D3788" w:rsidRDefault="00616CF8" w:rsidP="00616CF8">
      <w:pPr>
        <w:pStyle w:val="PC56-Normal-New"/>
        <w:rPr>
          <w:color w:val="auto"/>
          <w:lang w:val="en-NZ"/>
        </w:rPr>
      </w:pPr>
      <w:r w:rsidRPr="009D3788">
        <w:rPr>
          <w:color w:val="auto"/>
          <w:lang w:val="en-NZ"/>
        </w:rPr>
        <w:t>The assessment should document to what degree the building complies with the performance standards in 14M 2.1.3. It should also cover the topics of a qualitative wind assessment.</w:t>
      </w:r>
    </w:p>
    <w:p w14:paraId="53F174BA" w14:textId="77777777" w:rsidR="00616CF8" w:rsidRPr="009D3788" w:rsidRDefault="00616CF8" w:rsidP="00616CF8">
      <w:pPr>
        <w:pStyle w:val="PC56-HeadingLevel3-New"/>
        <w:rPr>
          <w:color w:val="auto"/>
        </w:rPr>
      </w:pPr>
      <w:r w:rsidRPr="009D3788">
        <w:rPr>
          <w:color w:val="auto"/>
        </w:rPr>
        <w:t>Qualitative Wind Assessment</w:t>
      </w:r>
    </w:p>
    <w:p w14:paraId="7117E50D" w14:textId="77777777" w:rsidR="00616CF8" w:rsidRPr="009D3788" w:rsidRDefault="00616CF8" w:rsidP="00616CF8">
      <w:pPr>
        <w:pStyle w:val="PC56-Normal-New"/>
        <w:rPr>
          <w:color w:val="auto"/>
          <w:lang w:val="en-NZ"/>
        </w:rPr>
      </w:pPr>
      <w:r w:rsidRPr="009D3788">
        <w:rPr>
          <w:color w:val="auto"/>
          <w:lang w:val="en-NZ"/>
        </w:rPr>
        <w:t xml:space="preserve">A qualitative assessment is not based on the results of a wind tunnel test or computer </w:t>
      </w:r>
      <w:proofErr w:type="gramStart"/>
      <w:r w:rsidRPr="009D3788">
        <w:rPr>
          <w:color w:val="auto"/>
          <w:lang w:val="en-NZ"/>
        </w:rPr>
        <w:t>modelling, and</w:t>
      </w:r>
      <w:proofErr w:type="gramEnd"/>
      <w:r w:rsidRPr="009D3788">
        <w:rPr>
          <w:color w:val="auto"/>
          <w:lang w:val="en-NZ"/>
        </w:rPr>
        <w:t xml:space="preserve"> relies on the professional knowledge of a suitably qualified and experienced person, and any available evidence of local wind conditions.</w:t>
      </w:r>
    </w:p>
    <w:p w14:paraId="3CBB20A1" w14:textId="77777777" w:rsidR="00616CF8" w:rsidRPr="009D3788" w:rsidRDefault="00616CF8" w:rsidP="00616CF8">
      <w:pPr>
        <w:pStyle w:val="PC56-Normal-New"/>
        <w:rPr>
          <w:color w:val="auto"/>
          <w:lang w:val="en-NZ"/>
        </w:rPr>
      </w:pPr>
      <w:r w:rsidRPr="009D3788">
        <w:rPr>
          <w:color w:val="auto"/>
          <w:lang w:val="en-NZ"/>
        </w:rPr>
        <w:t>The assessment should include the following:</w:t>
      </w:r>
    </w:p>
    <w:p w14:paraId="71DF9288" w14:textId="77777777" w:rsidR="00616CF8" w:rsidRPr="009D3788" w:rsidRDefault="00616CF8" w:rsidP="00616CF8">
      <w:pPr>
        <w:pStyle w:val="PC56-Normal-New"/>
        <w:numPr>
          <w:ilvl w:val="0"/>
          <w:numId w:val="12"/>
        </w:numPr>
        <w:rPr>
          <w:color w:val="auto"/>
          <w:lang w:val="en-NZ"/>
        </w:rPr>
      </w:pPr>
      <w:r w:rsidRPr="009D3788">
        <w:rPr>
          <w:color w:val="auto"/>
          <w:lang w:val="en-NZ"/>
        </w:rPr>
        <w:t>A description of existing wind conditions, including sources and limitations of information used. Results from any previous relevant quantitative assessment should be used when available.</w:t>
      </w:r>
    </w:p>
    <w:p w14:paraId="290567A4" w14:textId="77777777" w:rsidR="00616CF8" w:rsidRPr="009D3788" w:rsidRDefault="00616CF8" w:rsidP="00616CF8">
      <w:pPr>
        <w:pStyle w:val="PC56-Normal-New"/>
        <w:numPr>
          <w:ilvl w:val="0"/>
          <w:numId w:val="12"/>
        </w:numPr>
        <w:rPr>
          <w:color w:val="auto"/>
          <w:lang w:val="en-NZ"/>
        </w:rPr>
      </w:pPr>
      <w:r w:rsidRPr="009D3788">
        <w:rPr>
          <w:color w:val="auto"/>
          <w:lang w:val="en-NZ"/>
        </w:rPr>
        <w:t>A description of the interaction of existing buildings with the wind that leads to the existing wind conditions.</w:t>
      </w:r>
    </w:p>
    <w:p w14:paraId="4F65B859" w14:textId="77777777" w:rsidR="00616CF8" w:rsidRPr="009D3788" w:rsidRDefault="00616CF8" w:rsidP="00616CF8">
      <w:pPr>
        <w:pStyle w:val="PC56-Normal-New"/>
        <w:numPr>
          <w:ilvl w:val="0"/>
          <w:numId w:val="12"/>
        </w:numPr>
        <w:rPr>
          <w:color w:val="auto"/>
          <w:lang w:val="en-NZ"/>
        </w:rPr>
      </w:pPr>
      <w:r w:rsidRPr="009D3788">
        <w:rPr>
          <w:color w:val="auto"/>
          <w:lang w:val="en-NZ"/>
        </w:rPr>
        <w:t>A review of the proposed development and its appropriateness for the wind environment in which it sits.</w:t>
      </w:r>
    </w:p>
    <w:p w14:paraId="0C5E09E6" w14:textId="77777777" w:rsidR="00616CF8" w:rsidRPr="009D3788" w:rsidRDefault="00616CF8" w:rsidP="00616CF8">
      <w:pPr>
        <w:pStyle w:val="PC56-Normal-New"/>
        <w:numPr>
          <w:ilvl w:val="0"/>
          <w:numId w:val="12"/>
        </w:numPr>
        <w:rPr>
          <w:color w:val="auto"/>
          <w:lang w:val="en-NZ"/>
        </w:rPr>
      </w:pPr>
      <w:r w:rsidRPr="009D3788">
        <w:rPr>
          <w:color w:val="auto"/>
          <w:lang w:val="en-NZ"/>
        </w:rPr>
        <w:t>Location of the proposed development relative to important nearby public spaces.</w:t>
      </w:r>
    </w:p>
    <w:p w14:paraId="0EAE6EAF" w14:textId="77777777" w:rsidR="00616CF8" w:rsidRPr="009D3788" w:rsidRDefault="00616CF8" w:rsidP="00616CF8">
      <w:pPr>
        <w:pStyle w:val="PC56-Normal-New"/>
        <w:numPr>
          <w:ilvl w:val="0"/>
          <w:numId w:val="12"/>
        </w:numPr>
        <w:rPr>
          <w:color w:val="auto"/>
          <w:lang w:val="en-NZ"/>
        </w:rPr>
      </w:pPr>
      <w:r w:rsidRPr="009D3788">
        <w:rPr>
          <w:color w:val="auto"/>
          <w:lang w:val="en-NZ"/>
        </w:rPr>
        <w:t>A description of the influence of the proposed development on the surrounding pedestrian level wind environment.</w:t>
      </w:r>
    </w:p>
    <w:p w14:paraId="54D8F6E8" w14:textId="77777777" w:rsidR="00616CF8" w:rsidRPr="009D3788" w:rsidRDefault="00616CF8" w:rsidP="00616CF8">
      <w:pPr>
        <w:pStyle w:val="PC56-Normal-New"/>
        <w:numPr>
          <w:ilvl w:val="0"/>
          <w:numId w:val="12"/>
        </w:numPr>
        <w:rPr>
          <w:color w:val="auto"/>
          <w:lang w:val="en-NZ"/>
        </w:rPr>
      </w:pPr>
      <w:r w:rsidRPr="009D3788">
        <w:rPr>
          <w:color w:val="auto"/>
          <w:lang w:val="en-NZ"/>
        </w:rPr>
        <w:t>To what degree existing wind conditions may deteriorate with the proposed development.</w:t>
      </w:r>
    </w:p>
    <w:p w14:paraId="2284F920" w14:textId="77777777" w:rsidR="00616CF8" w:rsidRPr="009D3788" w:rsidRDefault="00616CF8" w:rsidP="00616CF8">
      <w:pPr>
        <w:pStyle w:val="PC56-Normal-New"/>
        <w:numPr>
          <w:ilvl w:val="0"/>
          <w:numId w:val="12"/>
        </w:numPr>
        <w:rPr>
          <w:color w:val="auto"/>
          <w:lang w:val="en-NZ"/>
        </w:rPr>
      </w:pPr>
      <w:r w:rsidRPr="009D3788">
        <w:rPr>
          <w:color w:val="auto"/>
          <w:lang w:val="en-NZ"/>
        </w:rPr>
        <w:t>A description of proposed wind mitigation measures.</w:t>
      </w:r>
    </w:p>
    <w:p w14:paraId="6256081B" w14:textId="77777777" w:rsidR="00616CF8" w:rsidRPr="009D3788" w:rsidRDefault="00616CF8" w:rsidP="00616CF8">
      <w:pPr>
        <w:pStyle w:val="PC56-Normal-New"/>
        <w:numPr>
          <w:ilvl w:val="0"/>
          <w:numId w:val="12"/>
        </w:numPr>
        <w:rPr>
          <w:color w:val="auto"/>
          <w:lang w:val="en-NZ"/>
        </w:rPr>
      </w:pPr>
      <w:r w:rsidRPr="009D3788">
        <w:rPr>
          <w:color w:val="auto"/>
          <w:lang w:val="en-NZ"/>
        </w:rPr>
        <w:t>The likelihood that the development will meet, or to what degree it will not meet, the performance standards in section 14M 2.1.3.</w:t>
      </w:r>
    </w:p>
    <w:p w14:paraId="1981D897" w14:textId="77777777" w:rsidR="00616CF8" w:rsidRPr="009D3788" w:rsidRDefault="00616CF8" w:rsidP="00616CF8">
      <w:pPr>
        <w:pStyle w:val="PC56-Normal-New"/>
        <w:numPr>
          <w:ilvl w:val="0"/>
          <w:numId w:val="12"/>
        </w:numPr>
        <w:rPr>
          <w:color w:val="auto"/>
          <w:lang w:val="en-NZ"/>
        </w:rPr>
      </w:pPr>
      <w:r w:rsidRPr="009D3788">
        <w:rPr>
          <w:color w:val="auto"/>
          <w:lang w:val="en-NZ"/>
        </w:rPr>
        <w:t>The rationale behind the design of the building and any proposed wind mitigation measures that support it being the best practical way to achieve the performance standards in section 14M 2.1.3.</w:t>
      </w:r>
    </w:p>
    <w:p w14:paraId="62BC4CBF" w14:textId="77777777" w:rsidR="0065549E" w:rsidRPr="009D3788" w:rsidRDefault="0065549E" w:rsidP="00616CF8"/>
    <w:sectPr w:rsidR="0065549E" w:rsidRPr="009D3788" w:rsidSect="00E70E6D">
      <w:footerReference w:type="default" r:id="rId12"/>
      <w:footerReference w:type="first" r:id="rId13"/>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F1E2A" w14:textId="77777777" w:rsidR="00D6619F" w:rsidRDefault="00D6619F" w:rsidP="009735BF">
      <w:pPr>
        <w:spacing w:after="0" w:line="240" w:lineRule="auto"/>
      </w:pPr>
      <w:r>
        <w:separator/>
      </w:r>
    </w:p>
  </w:endnote>
  <w:endnote w:type="continuationSeparator" w:id="0">
    <w:p w14:paraId="489CB829" w14:textId="77777777" w:rsidR="00D6619F" w:rsidRDefault="00D6619F" w:rsidP="00973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FE28" w14:textId="77777777" w:rsidR="001B14C5" w:rsidRPr="00E86A76" w:rsidRDefault="00000000" w:rsidP="0073637F">
    <w:pPr>
      <w:pStyle w:val="Footer"/>
      <w:tabs>
        <w:tab w:val="clear" w:pos="9026"/>
        <w:tab w:val="right" w:pos="9638"/>
      </w:tab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70D12" w14:textId="12A50CDF" w:rsidR="00B51B79" w:rsidRDefault="00000000" w:rsidP="00B51B7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823CE" w14:textId="77777777" w:rsidR="00D6619F" w:rsidRDefault="00D6619F" w:rsidP="009735BF">
      <w:pPr>
        <w:spacing w:after="0" w:line="240" w:lineRule="auto"/>
      </w:pPr>
      <w:r>
        <w:separator/>
      </w:r>
    </w:p>
  </w:footnote>
  <w:footnote w:type="continuationSeparator" w:id="0">
    <w:p w14:paraId="5EF29F8B" w14:textId="77777777" w:rsidR="00D6619F" w:rsidRDefault="00D6619F" w:rsidP="009735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523FD"/>
    <w:multiLevelType w:val="hybridMultilevel"/>
    <w:tmpl w:val="BE7C10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C653456"/>
    <w:multiLevelType w:val="hybridMultilevel"/>
    <w:tmpl w:val="99DAA6D4"/>
    <w:lvl w:ilvl="0" w:tplc="FFFFFFFF">
      <w:start w:val="1"/>
      <w:numFmt w:val="lowerRoman"/>
      <w:lvlText w:val="(%1)"/>
      <w:lvlJc w:val="left"/>
      <w:pPr>
        <w:ind w:left="1080" w:hanging="360"/>
      </w:pPr>
      <w:rPr>
        <w:rFonts w:hint="default"/>
      </w:rPr>
    </w:lvl>
    <w:lvl w:ilvl="1" w:tplc="FFFFFFFF">
      <w:start w:val="1"/>
      <w:numFmt w:val="lowerRoman"/>
      <w:lvlText w:val="(%2)"/>
      <w:lvlJc w:val="left"/>
      <w:pPr>
        <w:ind w:left="1080" w:hanging="360"/>
      </w:pPr>
      <w:rPr>
        <w:rFonts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2621080D"/>
    <w:multiLevelType w:val="hybridMultilevel"/>
    <w:tmpl w:val="85EE9966"/>
    <w:lvl w:ilvl="0" w:tplc="1409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2D76451B"/>
    <w:multiLevelType w:val="hybridMultilevel"/>
    <w:tmpl w:val="671C2B4A"/>
    <w:lvl w:ilvl="0" w:tplc="3AECBAD8">
      <w:start w:val="1"/>
      <w:numFmt w:val="decimal"/>
      <w:pStyle w:val="PC56-Amendmentheading"/>
      <w:lvlText w:val="AMENDMENT %1"/>
      <w:lvlJc w:val="left"/>
      <w:pPr>
        <w:tabs>
          <w:tab w:val="num" w:pos="2552"/>
        </w:tabs>
        <w:ind w:left="0" w:firstLine="0"/>
      </w:pPr>
      <w:rPr>
        <w:rFonts w:ascii="Arial Bold" w:hAnsi="Arial Bold" w:hint="default"/>
        <w:b/>
        <w:i w:val="0"/>
        <w:caps/>
        <w:color w:val="auto"/>
        <w:sz w:val="24"/>
        <w:szCs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317227D9"/>
    <w:multiLevelType w:val="hybridMultilevel"/>
    <w:tmpl w:val="D8188F6E"/>
    <w:lvl w:ilvl="0" w:tplc="8FE01536">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3B072EEE"/>
    <w:multiLevelType w:val="hybridMultilevel"/>
    <w:tmpl w:val="ABF8E542"/>
    <w:lvl w:ilvl="0" w:tplc="1409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4EAF4411"/>
    <w:multiLevelType w:val="hybridMultilevel"/>
    <w:tmpl w:val="E0C45576"/>
    <w:lvl w:ilvl="0" w:tplc="8FE01536">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55DD405B"/>
    <w:multiLevelType w:val="hybridMultilevel"/>
    <w:tmpl w:val="2FA097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577871EB"/>
    <w:multiLevelType w:val="hybridMultilevel"/>
    <w:tmpl w:val="31726F6C"/>
    <w:lvl w:ilvl="0" w:tplc="8FE01536">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673F27BD"/>
    <w:multiLevelType w:val="hybridMultilevel"/>
    <w:tmpl w:val="51F8FEC2"/>
    <w:lvl w:ilvl="0" w:tplc="8FE01536">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799528BC"/>
    <w:multiLevelType w:val="hybridMultilevel"/>
    <w:tmpl w:val="BEEC105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7B0C4F4C"/>
    <w:multiLevelType w:val="hybridMultilevel"/>
    <w:tmpl w:val="9F6C98CC"/>
    <w:lvl w:ilvl="0" w:tplc="8FE01536">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7DDE7E34"/>
    <w:multiLevelType w:val="hybridMultilevel"/>
    <w:tmpl w:val="AE92C656"/>
    <w:lvl w:ilvl="0" w:tplc="8FE01536">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2098089327">
    <w:abstractNumId w:val="3"/>
  </w:num>
  <w:num w:numId="2" w16cid:durableId="1365251034">
    <w:abstractNumId w:val="7"/>
  </w:num>
  <w:num w:numId="3" w16cid:durableId="1204364136">
    <w:abstractNumId w:val="11"/>
  </w:num>
  <w:num w:numId="4" w16cid:durableId="2118913393">
    <w:abstractNumId w:val="9"/>
  </w:num>
  <w:num w:numId="5" w16cid:durableId="1537155064">
    <w:abstractNumId w:val="8"/>
  </w:num>
  <w:num w:numId="6" w16cid:durableId="782454201">
    <w:abstractNumId w:val="4"/>
  </w:num>
  <w:num w:numId="7" w16cid:durableId="1752771421">
    <w:abstractNumId w:val="6"/>
  </w:num>
  <w:num w:numId="8" w16cid:durableId="945036850">
    <w:abstractNumId w:val="5"/>
  </w:num>
  <w:num w:numId="9" w16cid:durableId="303509663">
    <w:abstractNumId w:val="2"/>
  </w:num>
  <w:num w:numId="10" w16cid:durableId="1892495057">
    <w:abstractNumId w:val="12"/>
  </w:num>
  <w:num w:numId="11" w16cid:durableId="1363281628">
    <w:abstractNumId w:val="10"/>
  </w:num>
  <w:num w:numId="12" w16cid:durableId="1291519864">
    <w:abstractNumId w:val="0"/>
  </w:num>
  <w:num w:numId="13" w16cid:durableId="11102752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B5"/>
    <w:rsid w:val="00161B37"/>
    <w:rsid w:val="003C72D7"/>
    <w:rsid w:val="005350FC"/>
    <w:rsid w:val="00616CF8"/>
    <w:rsid w:val="0065549E"/>
    <w:rsid w:val="007410AF"/>
    <w:rsid w:val="009735BF"/>
    <w:rsid w:val="009D3788"/>
    <w:rsid w:val="00D25C83"/>
    <w:rsid w:val="00D6619F"/>
    <w:rsid w:val="00D863B5"/>
    <w:rsid w:val="00F90F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543D0"/>
  <w15:chartTrackingRefBased/>
  <w15:docId w15:val="{F0EF65CB-3E94-404B-BB1D-98A6FD990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B37"/>
    <w:pPr>
      <w:spacing w:after="120" w:line="264" w:lineRule="auto"/>
      <w:jc w:val="both"/>
    </w:pPr>
    <w:rPr>
      <w:rFonts w:ascii="Arial" w:hAnsi="Arial"/>
    </w:rPr>
  </w:style>
  <w:style w:type="paragraph" w:styleId="Heading1">
    <w:name w:val="heading 1"/>
    <w:basedOn w:val="Normal"/>
    <w:next w:val="Normal"/>
    <w:link w:val="Heading1Char"/>
    <w:uiPriority w:val="9"/>
    <w:qFormat/>
    <w:rsid w:val="00161B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61B37"/>
    <w:pPr>
      <w:widowControl w:val="0"/>
      <w:tabs>
        <w:tab w:val="center" w:pos="4513"/>
        <w:tab w:val="right" w:pos="9026"/>
      </w:tabs>
      <w:spacing w:after="0" w:line="240" w:lineRule="auto"/>
    </w:pPr>
    <w:rPr>
      <w:rFonts w:eastAsia="Times New Roman" w:cs="Times New Roman"/>
      <w:snapToGrid w:val="0"/>
      <w:szCs w:val="20"/>
    </w:rPr>
  </w:style>
  <w:style w:type="character" w:customStyle="1" w:styleId="FooterChar">
    <w:name w:val="Footer Char"/>
    <w:basedOn w:val="DefaultParagraphFont"/>
    <w:link w:val="Footer"/>
    <w:uiPriority w:val="99"/>
    <w:rsid w:val="00161B37"/>
    <w:rPr>
      <w:rFonts w:ascii="Arial" w:eastAsia="Times New Roman" w:hAnsi="Arial" w:cs="Times New Roman"/>
      <w:snapToGrid w:val="0"/>
      <w:szCs w:val="20"/>
    </w:rPr>
  </w:style>
  <w:style w:type="table" w:styleId="TableGrid">
    <w:name w:val="Table Grid"/>
    <w:basedOn w:val="TableNormal"/>
    <w:uiPriority w:val="59"/>
    <w:rsid w:val="00161B37"/>
    <w:pPr>
      <w:spacing w:after="0" w:line="240" w:lineRule="auto"/>
    </w:pPr>
    <w:rPr>
      <w:rFonts w:ascii="Calibri" w:eastAsia="Times New Roman" w:hAnsi="Calibri"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C56-Amendmentheading">
    <w:name w:val="PC56 - Amendment heading"/>
    <w:basedOn w:val="Normal"/>
    <w:qFormat/>
    <w:rsid w:val="00161B37"/>
    <w:pPr>
      <w:keepNext/>
      <w:keepLines/>
      <w:widowControl w:val="0"/>
      <w:numPr>
        <w:numId w:val="1"/>
      </w:numPr>
      <w:tabs>
        <w:tab w:val="clear" w:pos="2552"/>
      </w:tabs>
      <w:spacing w:before="360" w:after="0" w:line="240" w:lineRule="auto"/>
      <w:jc w:val="left"/>
    </w:pPr>
    <w:rPr>
      <w:rFonts w:eastAsia="Calibri" w:cs="Arial"/>
      <w:sz w:val="24"/>
      <w:lang w:eastAsia="en-NZ"/>
    </w:rPr>
  </w:style>
  <w:style w:type="paragraph" w:customStyle="1" w:styleId="PC56-Amendmentsubheading">
    <w:name w:val="PC56 - Amendment subheading"/>
    <w:basedOn w:val="Normal"/>
    <w:qFormat/>
    <w:rsid w:val="00161B37"/>
    <w:pPr>
      <w:keepNext/>
      <w:spacing w:after="60"/>
      <w:jc w:val="left"/>
    </w:pPr>
    <w:rPr>
      <w:rFonts w:eastAsia="Calibri" w:cs="Arial"/>
      <w:i/>
      <w:iCs/>
      <w:sz w:val="24"/>
      <w:lang w:eastAsia="en-NZ"/>
    </w:rPr>
  </w:style>
  <w:style w:type="paragraph" w:customStyle="1" w:styleId="PC56-HeadingLevel2-New">
    <w:name w:val="PC56 - Heading Level 2 - New"/>
    <w:basedOn w:val="Normal"/>
    <w:qFormat/>
    <w:rsid w:val="00161B37"/>
    <w:pPr>
      <w:keepNext/>
      <w:tabs>
        <w:tab w:val="left" w:pos="1418"/>
      </w:tabs>
      <w:ind w:left="1418" w:hanging="1418"/>
      <w:jc w:val="left"/>
    </w:pPr>
    <w:rPr>
      <w:b/>
      <w:bCs/>
      <w:color w:val="FF0000"/>
      <w:sz w:val="28"/>
      <w:szCs w:val="28"/>
      <w:u w:val="single"/>
    </w:rPr>
  </w:style>
  <w:style w:type="paragraph" w:customStyle="1" w:styleId="PC56-Normal-New">
    <w:name w:val="PC56 - Normal - New"/>
    <w:basedOn w:val="Normal"/>
    <w:qFormat/>
    <w:rsid w:val="00161B37"/>
    <w:pPr>
      <w:spacing w:line="240" w:lineRule="auto"/>
      <w:jc w:val="left"/>
    </w:pPr>
    <w:rPr>
      <w:rFonts w:eastAsia="Arial" w:cs="Arial"/>
      <w:color w:val="FF0000"/>
      <w:szCs w:val="18"/>
      <w:u w:val="single"/>
      <w:lang w:val="en-US"/>
    </w:rPr>
  </w:style>
  <w:style w:type="paragraph" w:customStyle="1" w:styleId="PC56-SectionHeading">
    <w:name w:val="PC56 - Section Heading"/>
    <w:basedOn w:val="Heading1"/>
    <w:qFormat/>
    <w:rsid w:val="00161B37"/>
    <w:pPr>
      <w:keepNext w:val="0"/>
      <w:keepLines w:val="0"/>
      <w:pageBreakBefore/>
      <w:pBdr>
        <w:top w:val="single" w:sz="4" w:space="4" w:color="auto"/>
        <w:bottom w:val="single" w:sz="4" w:space="4" w:color="auto"/>
      </w:pBdr>
      <w:spacing w:before="0" w:after="120"/>
      <w:jc w:val="center"/>
    </w:pPr>
    <w:rPr>
      <w:rFonts w:ascii="Arial" w:eastAsia="Arial" w:hAnsi="Arial" w:cs="Arial"/>
      <w:b/>
      <w:snapToGrid w:val="0"/>
      <w:color w:val="auto"/>
      <w:sz w:val="36"/>
      <w:szCs w:val="36"/>
    </w:rPr>
  </w:style>
  <w:style w:type="paragraph" w:customStyle="1" w:styleId="PC56-ChapterHeading-New">
    <w:name w:val="PC56 - Chapter Heading - New"/>
    <w:basedOn w:val="Title"/>
    <w:qFormat/>
    <w:rsid w:val="00161B37"/>
    <w:pPr>
      <w:tabs>
        <w:tab w:val="left" w:pos="1701"/>
      </w:tabs>
      <w:spacing w:before="240" w:after="240"/>
      <w:ind w:left="1701" w:hanging="1701"/>
      <w:jc w:val="left"/>
    </w:pPr>
    <w:rPr>
      <w:rFonts w:ascii="Arial" w:eastAsia="Arial" w:hAnsi="Arial" w:cs="Arial"/>
      <w:b/>
      <w:bCs/>
      <w:color w:val="FF0000"/>
      <w:sz w:val="48"/>
      <w:szCs w:val="48"/>
      <w:u w:val="single"/>
    </w:rPr>
  </w:style>
  <w:style w:type="paragraph" w:customStyle="1" w:styleId="PC56-HeadingLevel1-New">
    <w:name w:val="PC56 - Heading Level 1 - New"/>
    <w:basedOn w:val="PC56-HeadingLevel2-New"/>
    <w:qFormat/>
    <w:rsid w:val="00161B37"/>
    <w:pPr>
      <w:spacing w:before="240" w:after="240"/>
    </w:pPr>
    <w:rPr>
      <w:sz w:val="32"/>
      <w:szCs w:val="32"/>
    </w:rPr>
  </w:style>
  <w:style w:type="paragraph" w:customStyle="1" w:styleId="PC56-HeadingLevel3-New">
    <w:name w:val="PC56 - Heading Level 3 - New"/>
    <w:basedOn w:val="PC56-HeadingLevel2-New"/>
    <w:qFormat/>
    <w:rsid w:val="00161B37"/>
    <w:pPr>
      <w:tabs>
        <w:tab w:val="clear" w:pos="1418"/>
        <w:tab w:val="left" w:pos="1843"/>
      </w:tabs>
      <w:ind w:left="1843" w:hanging="1843"/>
    </w:pPr>
    <w:rPr>
      <w:sz w:val="24"/>
    </w:rPr>
  </w:style>
  <w:style w:type="paragraph" w:customStyle="1" w:styleId="PC56-HeadingLevel4-New">
    <w:name w:val="PC56 - Heading Level 4 - New"/>
    <w:basedOn w:val="PC56-HeadingLevel3-New"/>
    <w:qFormat/>
    <w:rsid w:val="00161B37"/>
    <w:rPr>
      <w:sz w:val="22"/>
      <w:szCs w:val="22"/>
      <w:lang w:val="en-US"/>
    </w:rPr>
  </w:style>
  <w:style w:type="character" w:customStyle="1" w:styleId="Heading1Char">
    <w:name w:val="Heading 1 Char"/>
    <w:basedOn w:val="DefaultParagraphFont"/>
    <w:link w:val="Heading1"/>
    <w:uiPriority w:val="9"/>
    <w:rsid w:val="00161B37"/>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161B3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1B37"/>
    <w:rPr>
      <w:rFonts w:asciiTheme="majorHAnsi" w:eastAsiaTheme="majorEastAsia" w:hAnsiTheme="majorHAnsi" w:cstheme="majorBidi"/>
      <w:spacing w:val="-10"/>
      <w:kern w:val="28"/>
      <w:sz w:val="56"/>
      <w:szCs w:val="56"/>
    </w:rPr>
  </w:style>
  <w:style w:type="character" w:customStyle="1" w:styleId="normaltextrun">
    <w:name w:val="normaltextrun"/>
    <w:basedOn w:val="DefaultParagraphFont"/>
    <w:rsid w:val="009735BF"/>
  </w:style>
  <w:style w:type="paragraph" w:customStyle="1" w:styleId="ADMENDMENT">
    <w:name w:val="ADMENDMENT"/>
    <w:basedOn w:val="Normal"/>
    <w:link w:val="ADMENDMENTChar"/>
    <w:qFormat/>
    <w:rsid w:val="009735BF"/>
    <w:pPr>
      <w:spacing w:after="0" w:line="240" w:lineRule="auto"/>
      <w:jc w:val="left"/>
      <w:textAlignment w:val="baseline"/>
    </w:pPr>
    <w:rPr>
      <w:rFonts w:eastAsia="Times New Roman" w:cs="Arial"/>
      <w:b/>
      <w:bCs/>
      <w:i/>
      <w:iCs/>
      <w:sz w:val="18"/>
      <w:szCs w:val="18"/>
      <w:lang w:eastAsia="en-NZ"/>
    </w:rPr>
  </w:style>
  <w:style w:type="character" w:customStyle="1" w:styleId="ADMENDMENTChar">
    <w:name w:val="ADMENDMENT Char"/>
    <w:basedOn w:val="DefaultParagraphFont"/>
    <w:link w:val="ADMENDMENT"/>
    <w:rsid w:val="009735BF"/>
    <w:rPr>
      <w:rFonts w:ascii="Arial" w:eastAsia="Times New Roman" w:hAnsi="Arial" w:cs="Arial"/>
      <w:b/>
      <w:bCs/>
      <w:i/>
      <w:iCs/>
      <w:sz w:val="18"/>
      <w:szCs w:val="18"/>
      <w:lang w:eastAsia="en-NZ"/>
    </w:rPr>
  </w:style>
  <w:style w:type="paragraph" w:styleId="Header">
    <w:name w:val="header"/>
    <w:basedOn w:val="Normal"/>
    <w:link w:val="HeaderChar"/>
    <w:uiPriority w:val="99"/>
    <w:unhideWhenUsed/>
    <w:rsid w:val="009735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5B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DYRPRZSHUJDS-1762847944-28115</_dlc_DocId>
    <_dlc_DocIdUrl xmlns="922b4265-2cc8-432f-8fd6-80e13db13bdd">
      <Url>https://huttcity.sharepoint.com/sites/districtplann/_layouts/15/DocIdRedir.aspx?ID=DYRPRZSHUJDS-1762847944-28115</Url>
      <Description>DYRPRZSHUJDS-1762847944-28115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AB9F57-7A96-4381-ADFC-871B9204AECE}">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customXml/itemProps2.xml><?xml version="1.0" encoding="utf-8"?>
<ds:datastoreItem xmlns:ds="http://schemas.openxmlformats.org/officeDocument/2006/customXml" ds:itemID="{43AD5A54-05D6-4CE9-AF5C-36C303E5CB6F}">
  <ds:schemaRefs>
    <ds:schemaRef ds:uri="http://schemas.microsoft.com/sharepoint/v3/contenttype/forms"/>
  </ds:schemaRefs>
</ds:datastoreItem>
</file>

<file path=customXml/itemProps3.xml><?xml version="1.0" encoding="utf-8"?>
<ds:datastoreItem xmlns:ds="http://schemas.openxmlformats.org/officeDocument/2006/customXml" ds:itemID="{C1CC4F0E-FBEB-487A-B23F-35AC65A4438E}">
  <ds:schemaRefs>
    <ds:schemaRef ds:uri="http://schemas.microsoft.com/sharepoint/events"/>
  </ds:schemaRefs>
</ds:datastoreItem>
</file>

<file path=customXml/itemProps4.xml><?xml version="1.0" encoding="utf-8"?>
<ds:datastoreItem xmlns:ds="http://schemas.openxmlformats.org/officeDocument/2006/customXml" ds:itemID="{2104F0CC-3063-4115-AB0E-0D8A7625D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1735</Words>
  <Characters>9340</Characters>
  <Application>Microsoft Office Word</Application>
  <DocSecurity>0</DocSecurity>
  <Lines>203</Lines>
  <Paragraphs>133</Paragraphs>
  <ScaleCrop>false</ScaleCrop>
  <Company>Hutt City Council</Company>
  <LinksUpToDate>false</LinksUpToDate>
  <CharactersWithSpaces>10942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Geard</dc:creator>
  <cp:keywords/>
  <dc:description/>
  <cp:lastModifiedBy>Stephen Davis</cp:lastModifiedBy>
  <cp:revision>9</cp:revision>
  <dcterms:created xsi:type="dcterms:W3CDTF">2023-02-20T04:43:00Z</dcterms:created>
  <dcterms:modified xsi:type="dcterms:W3CDTF">2023-02-20T20:28:00Z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0x010100F531AC5105F43D4EAE3ACB8C0FAC57DB000DE5B7F1487C1F40AE0FA7D5EA0CDFB5</vt:lpwstr>
  </property>
  <property fmtid="{D5CDD505-2E9C-101B-9397-08002B2CF9AE}" pid="3" name="RelatedProperties">
    <vt:lpwstr/>
  </property>
  <property fmtid="{D5CDD505-2E9C-101B-9397-08002B2CF9AE}" pid="4" name="MediaServiceImageTags">
    <vt:lpwstr/>
  </property>
  <property fmtid="{D5CDD505-2E9C-101B-9397-08002B2CF9AE}" pid="5" name="Property">
    <vt:lpwstr/>
  </property>
  <property fmtid="{D5CDD505-2E9C-101B-9397-08002B2CF9AE}" pid="6" name="_dlc_DocIdItemGuid">
    <vt:lpwstr>8bdfaa1d-5685-4df5-8d0e-c0695f9763c2</vt:lpwstr>
  </property>
</Properties>
</file>